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DE4" w:rsidRDefault="00EF56A4">
      <w:pPr>
        <w:spacing w:before="1440" w:after="240"/>
        <w:jc w:val="center"/>
      </w:pPr>
      <w:r>
        <w:rPr>
          <w:b/>
          <w:bCs/>
          <w:color w:val="1F4E79"/>
          <w:sz w:val="52"/>
          <w:szCs w:val="52"/>
        </w:rPr>
        <w:t>AMATÖR TELSİZCİLİK</w:t>
      </w:r>
    </w:p>
    <w:p w:rsidR="00D23DE4" w:rsidRDefault="00EF56A4">
      <w:pPr>
        <w:spacing w:after="120"/>
        <w:jc w:val="center"/>
      </w:pPr>
      <w:r>
        <w:rPr>
          <w:color w:val="2E75B6"/>
          <w:sz w:val="34"/>
          <w:szCs w:val="34"/>
        </w:rPr>
        <w:t>Türkiye Mevzuat Analizi — Tablo A</w:t>
      </w:r>
    </w:p>
    <w:p w:rsidR="00D23DE4" w:rsidRDefault="00EF56A4">
      <w:pPr>
        <w:pBdr>
          <w:bottom w:val="single" w:sz="8" w:space="8" w:color="2E75B6"/>
        </w:pBdr>
        <w:spacing w:after="480"/>
        <w:jc w:val="center"/>
      </w:pPr>
      <w:r>
        <w:rPr>
          <w:color w:val="555555"/>
          <w:sz w:val="21"/>
          <w:szCs w:val="21"/>
        </w:rPr>
        <w:t>Mevzuat Envanteri | Gri Alanlar | IARU/CEPT Eksikleri | Karşılaştırmalı Analiz</w:t>
      </w:r>
    </w:p>
    <w:p w:rsidR="00D23DE4" w:rsidRDefault="00D23DE4">
      <w:pPr>
        <w:spacing w:before="240"/>
      </w:pPr>
    </w:p>
    <w:tbl>
      <w:tblPr>
        <w:tblW w:w="9597"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977"/>
        <w:gridCol w:w="6620"/>
      </w:tblGrid>
      <w:tr w:rsidR="00D23DE4" w:rsidTr="00137224">
        <w:trPr>
          <w:trHeight w:val="200"/>
        </w:trPr>
        <w:tc>
          <w:tcPr>
            <w:tcW w:w="2977"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Hazırlayan</w:t>
            </w:r>
          </w:p>
        </w:tc>
        <w:tc>
          <w:tcPr>
            <w:tcW w:w="66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0A506A" w:rsidP="00137224">
            <w:r>
              <w:rPr>
                <w:color w:val="000000"/>
                <w:sz w:val="18"/>
                <w:szCs w:val="18"/>
              </w:rPr>
              <w:t>Claude (Anthropic) yapay zekâsı desteğiyle hazırlanmış; doğrulama ve son düzenlemeler insan gözetimiyle yapılmıştır.</w:t>
            </w:r>
          </w:p>
        </w:tc>
      </w:tr>
      <w:tr w:rsidR="00D23DE4" w:rsidTr="00137224">
        <w:trPr>
          <w:trHeight w:val="200"/>
        </w:trPr>
        <w:tc>
          <w:tcPr>
            <w:tcW w:w="2977"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Tarih</w:t>
            </w:r>
          </w:p>
        </w:tc>
        <w:tc>
          <w:tcPr>
            <w:tcW w:w="66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4E6DB2">
            <w:r>
              <w:rPr>
                <w:color w:val="000000"/>
                <w:sz w:val="18"/>
                <w:szCs w:val="18"/>
              </w:rPr>
              <w:t>7 Ağustos 2026</w:t>
            </w:r>
          </w:p>
        </w:tc>
      </w:tr>
      <w:tr w:rsidR="00D23DE4" w:rsidTr="00137224">
        <w:trPr>
          <w:trHeight w:val="200"/>
        </w:trPr>
        <w:tc>
          <w:tcPr>
            <w:tcW w:w="2977"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Sürüm</w:t>
            </w:r>
          </w:p>
        </w:tc>
        <w:tc>
          <w:tcPr>
            <w:tcW w:w="66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4E6DB2" w:rsidP="000A506A">
            <w:r>
              <w:rPr>
                <w:color w:val="000000"/>
                <w:sz w:val="18"/>
                <w:szCs w:val="18"/>
              </w:rPr>
              <w:t>v1.1</w:t>
            </w:r>
            <w:r w:rsidR="00EF56A4">
              <w:rPr>
                <w:color w:val="000000"/>
                <w:sz w:val="18"/>
                <w:szCs w:val="18"/>
              </w:rPr>
              <w:t xml:space="preserve"> (iç çalışma v</w:t>
            </w:r>
            <w:r w:rsidR="000A506A">
              <w:rPr>
                <w:color w:val="000000"/>
                <w:sz w:val="18"/>
                <w:szCs w:val="18"/>
              </w:rPr>
              <w:t>11</w:t>
            </w:r>
            <w:r w:rsidR="00EF56A4">
              <w:rPr>
                <w:color w:val="000000"/>
                <w:sz w:val="18"/>
                <w:szCs w:val="18"/>
              </w:rPr>
              <w:t>)</w:t>
            </w:r>
          </w:p>
        </w:tc>
      </w:tr>
      <w:tr w:rsidR="00D23DE4" w:rsidTr="00137224">
        <w:trPr>
          <w:trHeight w:val="200"/>
        </w:trPr>
        <w:tc>
          <w:tcPr>
            <w:tcW w:w="2977"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Eşlik eden</w:t>
            </w:r>
            <w:r w:rsidR="00137224">
              <w:rPr>
                <w:b/>
                <w:bCs/>
                <w:color w:val="000000"/>
                <w:sz w:val="18"/>
                <w:szCs w:val="18"/>
              </w:rPr>
              <w:t xml:space="preserve"> birincil</w:t>
            </w:r>
            <w:r>
              <w:rPr>
                <w:b/>
                <w:bCs/>
                <w:color w:val="000000"/>
                <w:sz w:val="18"/>
                <w:szCs w:val="18"/>
              </w:rPr>
              <w:t xml:space="preserve"> dosya</w:t>
            </w:r>
          </w:p>
        </w:tc>
        <w:tc>
          <w:tcPr>
            <w:tcW w:w="66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Amator_Telsizcilik_Tablo_A_Mevzuat_Envanteri_</w:t>
            </w:r>
            <w:r w:rsidR="004E6DB2">
              <w:rPr>
                <w:color w:val="000000"/>
                <w:sz w:val="18"/>
                <w:szCs w:val="18"/>
              </w:rPr>
              <w:t>v1.1</w:t>
            </w:r>
            <w:r>
              <w:rPr>
                <w:color w:val="000000"/>
                <w:sz w:val="18"/>
                <w:szCs w:val="18"/>
              </w:rPr>
              <w:t>.xlsx</w:t>
            </w:r>
          </w:p>
        </w:tc>
      </w:tr>
      <w:tr w:rsidR="000A506A" w:rsidTr="00137224">
        <w:trPr>
          <w:trHeight w:val="1543"/>
        </w:trPr>
        <w:tc>
          <w:tcPr>
            <w:tcW w:w="9597" w:type="dxa"/>
            <w:gridSpan w:val="2"/>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459B9" w:rsidRDefault="00137224" w:rsidP="00137224">
            <w:pPr>
              <w:spacing w:before="240"/>
              <w:jc w:val="center"/>
              <w:rPr>
                <w:i/>
                <w:iCs/>
                <w:color w:val="777777"/>
                <w:sz w:val="16"/>
                <w:szCs w:val="16"/>
              </w:rPr>
            </w:pPr>
            <w:r>
              <w:rPr>
                <w:b/>
                <w:i/>
                <w:iCs/>
                <w:color w:val="777777"/>
                <w:sz w:val="16"/>
                <w:szCs w:val="16"/>
              </w:rPr>
              <w:t>Tüm d</w:t>
            </w:r>
            <w:r w:rsidR="00D459B9" w:rsidRPr="00137224">
              <w:rPr>
                <w:b/>
                <w:i/>
                <w:iCs/>
                <w:color w:val="777777"/>
                <w:sz w:val="16"/>
                <w:szCs w:val="16"/>
              </w:rPr>
              <w:t xml:space="preserve">osya </w:t>
            </w:r>
            <w:r>
              <w:rPr>
                <w:b/>
                <w:i/>
                <w:iCs/>
                <w:color w:val="777777"/>
                <w:sz w:val="16"/>
                <w:szCs w:val="16"/>
              </w:rPr>
              <w:t>e</w:t>
            </w:r>
            <w:r w:rsidR="00D459B9" w:rsidRPr="00137224">
              <w:rPr>
                <w:b/>
                <w:i/>
                <w:iCs/>
                <w:color w:val="777777"/>
                <w:sz w:val="16"/>
                <w:szCs w:val="16"/>
              </w:rPr>
              <w:t>kleri:</w:t>
            </w:r>
            <w:r w:rsidR="00D459B9">
              <w:rPr>
                <w:i/>
                <w:iCs/>
                <w:color w:val="777777"/>
                <w:sz w:val="16"/>
                <w:szCs w:val="16"/>
              </w:rPr>
              <w:br/>
            </w:r>
            <w:r w:rsidRPr="00137224">
              <w:rPr>
                <w:i/>
                <w:iCs/>
                <w:color w:val="777777"/>
                <w:sz w:val="16"/>
                <w:szCs w:val="16"/>
              </w:rPr>
              <w:t>Türkiye Mevzuat Analizi ve Talep Çalışması</w:t>
            </w:r>
            <w:r>
              <w:rPr>
                <w:i/>
                <w:iCs/>
                <w:color w:val="777777"/>
                <w:sz w:val="16"/>
                <w:szCs w:val="16"/>
              </w:rPr>
              <w:t xml:space="preserve"> Web Sayfası</w:t>
            </w:r>
            <w:r>
              <w:rPr>
                <w:i/>
                <w:iCs/>
                <w:color w:val="777777"/>
                <w:sz w:val="16"/>
                <w:szCs w:val="16"/>
              </w:rPr>
              <w:br/>
            </w:r>
            <w:r w:rsidR="00D459B9" w:rsidRPr="00D459B9">
              <w:rPr>
                <w:i/>
                <w:iCs/>
                <w:color w:val="777777"/>
                <w:sz w:val="16"/>
                <w:szCs w:val="16"/>
              </w:rPr>
              <w:t>Amator</w:t>
            </w:r>
            <w:r w:rsidR="00D459B9">
              <w:rPr>
                <w:i/>
                <w:iCs/>
                <w:color w:val="777777"/>
                <w:sz w:val="16"/>
                <w:szCs w:val="16"/>
              </w:rPr>
              <w:t xml:space="preserve"> </w:t>
            </w:r>
            <w:r w:rsidR="00D459B9" w:rsidRPr="00D459B9">
              <w:rPr>
                <w:i/>
                <w:iCs/>
                <w:color w:val="777777"/>
                <w:sz w:val="16"/>
                <w:szCs w:val="16"/>
              </w:rPr>
              <w:t>Telsizcilik</w:t>
            </w:r>
            <w:r w:rsidR="00D459B9">
              <w:rPr>
                <w:i/>
                <w:iCs/>
                <w:color w:val="777777"/>
                <w:sz w:val="16"/>
                <w:szCs w:val="16"/>
              </w:rPr>
              <w:t xml:space="preserve"> </w:t>
            </w:r>
            <w:r w:rsidR="00D459B9" w:rsidRPr="00D459B9">
              <w:rPr>
                <w:i/>
                <w:iCs/>
                <w:color w:val="777777"/>
                <w:sz w:val="16"/>
                <w:szCs w:val="16"/>
              </w:rPr>
              <w:t>Tablo</w:t>
            </w:r>
            <w:r w:rsidR="00D459B9">
              <w:rPr>
                <w:i/>
                <w:iCs/>
                <w:color w:val="777777"/>
                <w:sz w:val="16"/>
                <w:szCs w:val="16"/>
              </w:rPr>
              <w:t xml:space="preserve"> </w:t>
            </w:r>
            <w:r w:rsidR="00D459B9" w:rsidRPr="00D459B9">
              <w:rPr>
                <w:i/>
                <w:iCs/>
                <w:color w:val="777777"/>
                <w:sz w:val="16"/>
                <w:szCs w:val="16"/>
              </w:rPr>
              <w:t>A</w:t>
            </w:r>
            <w:r w:rsidR="00D459B9">
              <w:rPr>
                <w:i/>
                <w:iCs/>
                <w:color w:val="777777"/>
                <w:sz w:val="16"/>
                <w:szCs w:val="16"/>
              </w:rPr>
              <w:t xml:space="preserve"> </w:t>
            </w:r>
            <w:r w:rsidR="00D459B9" w:rsidRPr="00D459B9">
              <w:rPr>
                <w:i/>
                <w:iCs/>
                <w:color w:val="777777"/>
                <w:sz w:val="16"/>
                <w:szCs w:val="16"/>
              </w:rPr>
              <w:t>Mevzuat</w:t>
            </w:r>
            <w:r w:rsidR="00D459B9">
              <w:rPr>
                <w:i/>
                <w:iCs/>
                <w:color w:val="777777"/>
                <w:sz w:val="16"/>
                <w:szCs w:val="16"/>
              </w:rPr>
              <w:t xml:space="preserve"> </w:t>
            </w:r>
            <w:r w:rsidR="00D459B9" w:rsidRPr="00D459B9">
              <w:rPr>
                <w:i/>
                <w:iCs/>
                <w:color w:val="777777"/>
                <w:sz w:val="16"/>
                <w:szCs w:val="16"/>
              </w:rPr>
              <w:t>Envanteri</w:t>
            </w:r>
            <w:r w:rsidR="00D459B9">
              <w:rPr>
                <w:i/>
                <w:iCs/>
                <w:color w:val="777777"/>
                <w:sz w:val="16"/>
                <w:szCs w:val="16"/>
              </w:rPr>
              <w:t xml:space="preserve"> (Excel)</w:t>
            </w:r>
            <w:r>
              <w:rPr>
                <w:i/>
                <w:iCs/>
                <w:color w:val="777777"/>
                <w:sz w:val="16"/>
                <w:szCs w:val="16"/>
              </w:rPr>
              <w:br/>
            </w:r>
            <w:r w:rsidR="00D459B9">
              <w:rPr>
                <w:i/>
                <w:iCs/>
                <w:color w:val="777777"/>
                <w:sz w:val="16"/>
                <w:szCs w:val="16"/>
              </w:rPr>
              <w:t>Türk Amatör Telsizciliği Gri Alan ve Mevzuat Uzlaşı Oy Pusulası (Word)</w:t>
            </w:r>
            <w:r>
              <w:rPr>
                <w:i/>
                <w:iCs/>
                <w:color w:val="777777"/>
                <w:sz w:val="16"/>
                <w:szCs w:val="16"/>
              </w:rPr>
              <w:br/>
            </w:r>
            <w:r w:rsidR="00760C22">
              <w:rPr>
                <w:i/>
                <w:iCs/>
                <w:color w:val="777777"/>
                <w:sz w:val="16"/>
                <w:szCs w:val="16"/>
              </w:rPr>
              <w:t>Türk Amatör Telsizciliği Gri Alan ve Mevzuat Uzlaşı Oy Pusulası (Powerpoint)</w:t>
            </w:r>
            <w:r w:rsidR="00760C22">
              <w:rPr>
                <w:i/>
                <w:iCs/>
                <w:color w:val="777777"/>
                <w:sz w:val="16"/>
                <w:szCs w:val="16"/>
              </w:rPr>
              <w:br/>
            </w:r>
            <w:r>
              <w:rPr>
                <w:i/>
                <w:iCs/>
                <w:color w:val="777777"/>
                <w:sz w:val="16"/>
                <w:szCs w:val="16"/>
              </w:rPr>
              <w:t xml:space="preserve">Amatör </w:t>
            </w:r>
            <w:r w:rsidRPr="00137224">
              <w:rPr>
                <w:i/>
                <w:iCs/>
                <w:color w:val="777777"/>
                <w:sz w:val="16"/>
                <w:szCs w:val="16"/>
              </w:rPr>
              <w:t>Telsizcilik</w:t>
            </w:r>
            <w:r>
              <w:rPr>
                <w:i/>
                <w:iCs/>
                <w:color w:val="777777"/>
                <w:sz w:val="16"/>
                <w:szCs w:val="16"/>
              </w:rPr>
              <w:t xml:space="preserve"> </w:t>
            </w:r>
            <w:r w:rsidRPr="00137224">
              <w:rPr>
                <w:i/>
                <w:iCs/>
                <w:color w:val="777777"/>
                <w:sz w:val="16"/>
                <w:szCs w:val="16"/>
              </w:rPr>
              <w:t>Tablo</w:t>
            </w:r>
            <w:r>
              <w:rPr>
                <w:i/>
                <w:iCs/>
                <w:color w:val="777777"/>
                <w:sz w:val="16"/>
                <w:szCs w:val="16"/>
              </w:rPr>
              <w:t xml:space="preserve"> </w:t>
            </w:r>
            <w:r w:rsidRPr="00137224">
              <w:rPr>
                <w:i/>
                <w:iCs/>
                <w:color w:val="777777"/>
                <w:sz w:val="16"/>
                <w:szCs w:val="16"/>
              </w:rPr>
              <w:t>B</w:t>
            </w:r>
            <w:r>
              <w:rPr>
                <w:i/>
                <w:iCs/>
                <w:color w:val="777777"/>
                <w:sz w:val="16"/>
                <w:szCs w:val="16"/>
              </w:rPr>
              <w:t xml:space="preserve"> </w:t>
            </w:r>
            <w:r w:rsidRPr="00137224">
              <w:rPr>
                <w:i/>
                <w:iCs/>
                <w:color w:val="777777"/>
                <w:sz w:val="16"/>
                <w:szCs w:val="16"/>
              </w:rPr>
              <w:t>Kurum</w:t>
            </w:r>
            <w:r>
              <w:rPr>
                <w:i/>
                <w:iCs/>
                <w:color w:val="777777"/>
                <w:sz w:val="16"/>
                <w:szCs w:val="16"/>
              </w:rPr>
              <w:t xml:space="preserve"> </w:t>
            </w:r>
            <w:r w:rsidRPr="00137224">
              <w:rPr>
                <w:i/>
                <w:iCs/>
                <w:color w:val="777777"/>
                <w:sz w:val="16"/>
                <w:szCs w:val="16"/>
              </w:rPr>
              <w:t>Talep</w:t>
            </w:r>
            <w:r>
              <w:rPr>
                <w:i/>
                <w:iCs/>
                <w:color w:val="777777"/>
                <w:sz w:val="16"/>
                <w:szCs w:val="16"/>
              </w:rPr>
              <w:t xml:space="preserve"> </w:t>
            </w:r>
            <w:r w:rsidRPr="00137224">
              <w:rPr>
                <w:i/>
                <w:iCs/>
                <w:color w:val="777777"/>
                <w:sz w:val="16"/>
                <w:szCs w:val="16"/>
              </w:rPr>
              <w:t>Yazilari</w:t>
            </w:r>
            <w:r>
              <w:rPr>
                <w:i/>
                <w:iCs/>
                <w:color w:val="777777"/>
                <w:sz w:val="16"/>
                <w:szCs w:val="16"/>
              </w:rPr>
              <w:t xml:space="preserve"> </w:t>
            </w:r>
            <w:r w:rsidRPr="00137224">
              <w:rPr>
                <w:i/>
                <w:iCs/>
                <w:color w:val="777777"/>
                <w:sz w:val="16"/>
                <w:szCs w:val="16"/>
              </w:rPr>
              <w:t>Taslak</w:t>
            </w:r>
            <w:r>
              <w:rPr>
                <w:i/>
                <w:iCs/>
                <w:color w:val="777777"/>
                <w:sz w:val="16"/>
                <w:szCs w:val="16"/>
              </w:rPr>
              <w:t xml:space="preserve"> (Word)</w:t>
            </w:r>
            <w:r>
              <w:rPr>
                <w:i/>
                <w:iCs/>
                <w:color w:val="777777"/>
                <w:sz w:val="16"/>
                <w:szCs w:val="16"/>
              </w:rPr>
              <w:br/>
            </w:r>
            <w:r w:rsidRPr="00137224">
              <w:rPr>
                <w:i/>
                <w:iCs/>
                <w:color w:val="777777"/>
                <w:sz w:val="16"/>
                <w:szCs w:val="16"/>
              </w:rPr>
              <w:t>Resmi</w:t>
            </w:r>
            <w:r>
              <w:rPr>
                <w:i/>
                <w:iCs/>
                <w:color w:val="777777"/>
                <w:sz w:val="16"/>
                <w:szCs w:val="16"/>
              </w:rPr>
              <w:t xml:space="preserve"> </w:t>
            </w:r>
            <w:r w:rsidRPr="00137224">
              <w:rPr>
                <w:i/>
                <w:iCs/>
                <w:color w:val="777777"/>
                <w:sz w:val="16"/>
                <w:szCs w:val="16"/>
              </w:rPr>
              <w:t>Kaynaklar</w:t>
            </w:r>
            <w:r>
              <w:rPr>
                <w:i/>
                <w:iCs/>
                <w:color w:val="777777"/>
                <w:sz w:val="16"/>
                <w:szCs w:val="16"/>
              </w:rPr>
              <w:t xml:space="preserve"> </w:t>
            </w:r>
            <w:r w:rsidRPr="00137224">
              <w:rPr>
                <w:i/>
                <w:iCs/>
                <w:color w:val="777777"/>
                <w:sz w:val="16"/>
                <w:szCs w:val="16"/>
              </w:rPr>
              <w:t>Linkler</w:t>
            </w:r>
            <w:r>
              <w:rPr>
                <w:i/>
                <w:iCs/>
                <w:color w:val="777777"/>
                <w:sz w:val="16"/>
                <w:szCs w:val="16"/>
              </w:rPr>
              <w:t xml:space="preserve"> (.MD)</w:t>
            </w:r>
          </w:p>
          <w:p w:rsidR="000A506A" w:rsidRPr="000A506A" w:rsidRDefault="000A506A" w:rsidP="000A506A">
            <w:pPr>
              <w:spacing w:before="240"/>
              <w:jc w:val="center"/>
              <w:rPr>
                <w:i/>
                <w:iCs/>
                <w:color w:val="777777"/>
                <w:sz w:val="16"/>
                <w:szCs w:val="16"/>
              </w:rPr>
            </w:pPr>
            <w:r>
              <w:rPr>
                <w:i/>
                <w:iCs/>
                <w:color w:val="777777"/>
                <w:sz w:val="16"/>
                <w:szCs w:val="16"/>
              </w:rPr>
              <w:t>Bu belge amatör telsiz dernek ve kulüpleri ve amatör telsizcilik camia yararına hazırlanmıştır. Tüm referanslar doğrudan birincil kaynaklara dayanmaktadır.</w:t>
            </w:r>
          </w:p>
        </w:tc>
      </w:tr>
    </w:tbl>
    <w:p w:rsidR="00D23DE4" w:rsidRDefault="00D23DE4">
      <w:pPr>
        <w:spacing w:before="480"/>
      </w:pPr>
    </w:p>
    <w:p w:rsidR="00D23DE4" w:rsidRDefault="00EF56A4">
      <w:r>
        <w:br w:type="page"/>
      </w:r>
    </w:p>
    <w:p w:rsidR="00D23DE4" w:rsidRDefault="00EF56A4">
      <w:pPr>
        <w:pStyle w:val="Heading10"/>
        <w:pBdr>
          <w:bottom w:val="single" w:sz="6" w:space="4" w:color="2E75B6"/>
        </w:pBdr>
      </w:pPr>
      <w:r>
        <w:lastRenderedPageBreak/>
        <w:t>1. Mevzuat Haritası</w:t>
      </w:r>
    </w:p>
    <w:p w:rsidR="00D23DE4" w:rsidRDefault="00EF56A4" w:rsidP="000A506A">
      <w:pPr>
        <w:spacing w:before="80" w:after="120"/>
      </w:pPr>
      <w:r>
        <w:t>Türkiye'de amatör telsizcilik (amatör radyoculuk) tek bir kanun veya yönetmelikle düzenlenmemektedir. Haklar ve yükümlülükler birbirine atıf yapan dağınık mevzuattan derlenmek zorundadır.</w:t>
      </w:r>
    </w:p>
    <w:p w:rsidR="00D23DE4" w:rsidRDefault="00EF56A4">
      <w:pPr>
        <w:pStyle w:val="Heading20"/>
      </w:pPr>
      <w:r>
        <w:t xml:space="preserve">1.1 Temel </w:t>
      </w:r>
      <w:r w:rsidR="00760C22">
        <w:t>“</w:t>
      </w:r>
      <w:r>
        <w:t>Ruhsatsız</w:t>
      </w:r>
      <w:r w:rsidR="00760C22">
        <w:t>”</w:t>
      </w:r>
      <w:r>
        <w:t xml:space="preserve"> Kullanım Zinciri</w:t>
      </w:r>
    </w:p>
    <w:p w:rsidR="00D23DE4" w:rsidRDefault="00EF56A4">
      <w:pPr>
        <w:spacing w:before="80" w:after="120"/>
      </w:pPr>
      <w:r>
        <w:t>Aşağıdaki maddeler birlikte okunarak ruhsatsız amatör telsiz kullanım hakkı tesis edilmektedir:</w:t>
      </w:r>
    </w:p>
    <w:p w:rsidR="00D23DE4" w:rsidRDefault="00EF56A4">
      <w:pPr>
        <w:pStyle w:val="ListeParagraf"/>
        <w:numPr>
          <w:ilvl w:val="0"/>
          <w:numId w:val="2"/>
        </w:numPr>
        <w:spacing w:before="40" w:after="60"/>
      </w:pPr>
      <w:r>
        <w:t>Anayasa Md.22 — Haberleşme hürriyeti</w:t>
      </w:r>
    </w:p>
    <w:p w:rsidR="00D23DE4" w:rsidRDefault="00EF56A4">
      <w:pPr>
        <w:pStyle w:val="ListeParagraf"/>
        <w:numPr>
          <w:ilvl w:val="0"/>
          <w:numId w:val="2"/>
        </w:numPr>
        <w:spacing w:before="40" w:after="60"/>
      </w:pPr>
      <w:r>
        <w:t>5809 EHK Md.37/3 — Ruhsatsız kullanım hakkı (RG: 27050 Mükerrer, 10.11.2008)</w:t>
      </w:r>
    </w:p>
    <w:p w:rsidR="00D23DE4" w:rsidRDefault="00EF56A4">
      <w:pPr>
        <w:pStyle w:val="ListeParagraf"/>
        <w:numPr>
          <w:ilvl w:val="0"/>
          <w:numId w:val="2"/>
        </w:numPr>
        <w:spacing w:before="40" w:after="60"/>
      </w:pPr>
      <w:r>
        <w:t>Spektrum Yönetimi Yönetmeliği Md.7/1 ve 8/1 — Tahsis/tescil muafiyeti (RG: 27276, 02.07.2009)</w:t>
      </w:r>
    </w:p>
    <w:p w:rsidR="00D23DE4" w:rsidRDefault="00EF56A4">
      <w:pPr>
        <w:pStyle w:val="ListeParagraf"/>
        <w:numPr>
          <w:ilvl w:val="0"/>
          <w:numId w:val="2"/>
        </w:numPr>
        <w:spacing w:before="40" w:after="60"/>
      </w:pPr>
      <w:r>
        <w:t>Telsiz Yönetmeliği Md.2/4 — Yönetmelik kapsamı dışı (RG: 27291, 17.07.2009)</w:t>
      </w:r>
    </w:p>
    <w:p w:rsidR="00D23DE4" w:rsidRDefault="00EF56A4">
      <w:pPr>
        <w:pStyle w:val="ListeParagraf"/>
        <w:numPr>
          <w:ilvl w:val="0"/>
          <w:numId w:val="2"/>
        </w:numPr>
        <w:spacing w:before="40" w:after="60"/>
      </w:pPr>
      <w:r>
        <w:t>FTM Yönetmeliği Md.1-2 + Tablo 25 — Muafiyet kapsamı ve teknik ölçütler (RG: 30608, 27.11.2018)</w:t>
      </w:r>
    </w:p>
    <w:p w:rsidR="00D23DE4" w:rsidRDefault="00EF56A4">
      <w:pPr>
        <w:pStyle w:val="ListeParagraf"/>
        <w:numPr>
          <w:ilvl w:val="0"/>
          <w:numId w:val="2"/>
        </w:numPr>
        <w:spacing w:before="40" w:after="60"/>
      </w:pPr>
      <w:r>
        <w:t>KEGM Sınav Yönetmeliği Md.4/1e — Amatör istasyon tanımı (RG: 27482, 03.02.2010)</w:t>
      </w:r>
    </w:p>
    <w:p w:rsidR="00D23DE4" w:rsidRDefault="00D23DE4">
      <w:pPr>
        <w:spacing w:before="12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Kritik Boşluk</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2004 yılında yayımlanan (RG 25406, 18.03.2004) ve sonradan yürürlükten kaldırılan Amatör Telsizcilik Yönetmeliği'nin yerine geçen kapsamlı bir yönetmelik çıkarılmamıştır. Haklar yedi ayrı mevzuattan derlenmek zorundadır.</w:t>
            </w:r>
          </w:p>
        </w:tc>
      </w:tr>
    </w:tbl>
    <w:p w:rsidR="00D23DE4" w:rsidRDefault="00D23DE4">
      <w:pPr>
        <w:spacing w:before="200"/>
      </w:pPr>
    </w:p>
    <w:p w:rsidR="00245ED4" w:rsidRDefault="00310E17">
      <w:r>
        <w:t>Aşağıdaki iki şekil, bu haritayı bir bakışta özetler: bugünkü dağınık derleme zinciri ve GA-1 talebiyle hedeflenen tek çatı yapı. Kesikli çizgiler, doğrudan iç hukuk olmayan uluslararası çerçeveyi gösterir.</w:t>
      </w:r>
    </w:p>
    <w:p w:rsidR="00245ED4" w:rsidRDefault="00310E17">
      <w:pPr>
        <w:jc w:val="center"/>
      </w:pPr>
      <w:r>
        <w:rPr>
          <w:noProof/>
        </w:rPr>
        <w:drawing>
          <wp:inline distT="0" distB="0" distL="0" distR="0">
            <wp:extent cx="5096469" cy="5006532"/>
            <wp:effectExtent l="171450" t="133350" r="370881" b="3084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il1_bugun.png"/>
                    <pic:cNvPicPr/>
                  </pic:nvPicPr>
                  <pic:blipFill>
                    <a:blip r:embed="rId7"/>
                    <a:stretch>
                      <a:fillRect/>
                    </a:stretch>
                  </pic:blipFill>
                  <pic:spPr>
                    <a:xfrm>
                      <a:off x="0" y="0"/>
                      <a:ext cx="5101894" cy="5011862"/>
                    </a:xfrm>
                    <a:prstGeom prst="rect">
                      <a:avLst/>
                    </a:prstGeom>
                    <a:ln>
                      <a:noFill/>
                    </a:ln>
                    <a:effectLst>
                      <a:outerShdw blurRad="292100" dist="139700" dir="2700000" algn="tl" rotWithShape="0">
                        <a:srgbClr val="333333">
                          <a:alpha val="65000"/>
                        </a:srgbClr>
                      </a:outerShdw>
                    </a:effectLst>
                  </pic:spPr>
                </pic:pic>
              </a:graphicData>
            </a:graphic>
          </wp:inline>
        </w:drawing>
      </w:r>
    </w:p>
    <w:p w:rsidR="00245ED4" w:rsidRDefault="00310E17">
      <w:pPr>
        <w:jc w:val="center"/>
      </w:pPr>
      <w:r>
        <w:rPr>
          <w:i/>
          <w:sz w:val="18"/>
        </w:rPr>
        <w:t>Şekil 1 — Bugünkü hiyerarşi: haklar en az yedi ayrı mevzuattan derleniyor; mülga düzenlemelerin gölgesi sürüyor.</w:t>
      </w:r>
    </w:p>
    <w:p w:rsidR="00245ED4" w:rsidRDefault="00310E17">
      <w:pPr>
        <w:jc w:val="center"/>
      </w:pPr>
      <w:r>
        <w:rPr>
          <w:noProof/>
        </w:rPr>
        <w:lastRenderedPageBreak/>
        <w:drawing>
          <wp:inline distT="0" distB="0" distL="0" distR="0">
            <wp:extent cx="5565814" cy="3912439"/>
            <wp:effectExtent l="171450" t="133350" r="358736" b="297611"/>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il2_hedef.png"/>
                    <pic:cNvPicPr/>
                  </pic:nvPicPr>
                  <pic:blipFill>
                    <a:blip r:embed="rId8"/>
                    <a:stretch>
                      <a:fillRect/>
                    </a:stretch>
                  </pic:blipFill>
                  <pic:spPr>
                    <a:xfrm>
                      <a:off x="0" y="0"/>
                      <a:ext cx="5585358" cy="3926177"/>
                    </a:xfrm>
                    <a:prstGeom prst="rect">
                      <a:avLst/>
                    </a:prstGeom>
                    <a:ln>
                      <a:noFill/>
                    </a:ln>
                    <a:effectLst>
                      <a:outerShdw blurRad="292100" dist="139700" dir="2700000" algn="tl" rotWithShape="0">
                        <a:srgbClr val="333333">
                          <a:alpha val="65000"/>
                        </a:srgbClr>
                      </a:outerShdw>
                    </a:effectLst>
                  </pic:spPr>
                </pic:pic>
              </a:graphicData>
            </a:graphic>
          </wp:inline>
        </w:drawing>
      </w:r>
    </w:p>
    <w:p w:rsidR="00245ED4" w:rsidRDefault="00310E17">
      <w:pPr>
        <w:jc w:val="center"/>
      </w:pPr>
      <w:r>
        <w:rPr>
          <w:i/>
          <w:sz w:val="18"/>
        </w:rPr>
        <w:t>Şekil 2 — Hedef: mevcut anayasal ve yasal dayanak üzerine kurulan kapsamlı tek amatör telsizcilik yönetmeliği (GA-1).</w:t>
      </w:r>
    </w:p>
    <w:p w:rsidR="000A506A" w:rsidRDefault="000A506A">
      <w:pPr>
        <w:rPr>
          <w:b/>
          <w:bCs/>
          <w:color w:val="1F4E79"/>
          <w:sz w:val="28"/>
          <w:szCs w:val="28"/>
        </w:rPr>
      </w:pPr>
      <w:r>
        <w:br w:type="page"/>
      </w:r>
    </w:p>
    <w:p w:rsidR="00D23DE4" w:rsidRDefault="00EF56A4">
      <w:pPr>
        <w:pStyle w:val="Heading10"/>
        <w:pBdr>
          <w:bottom w:val="single" w:sz="6" w:space="4" w:color="2E75B6"/>
        </w:pBdr>
      </w:pPr>
      <w:r>
        <w:lastRenderedPageBreak/>
        <w:t>2. IARU / CEPT Önerileri — TR'de Karsiliği Olmayanlar</w:t>
      </w:r>
    </w:p>
    <w:p w:rsidR="00D23DE4" w:rsidRDefault="00EF56A4">
      <w:pPr>
        <w:spacing w:before="80" w:after="120"/>
      </w:pPr>
      <w:r>
        <w:t>Bu bölüm, Türkiye'nin CEPT üyesi olması ve IARU'nun bölge üye kuruluştaki (dernek ve kulüpler — IARU Bölge 1 Türkiye üyesi) temsiliyet yükümlülüğü nedeniyle hayata geçirmesi beklenen ancak henüz uygulanmayan belge ve önerileri listeler. Her madde birincil kaynakla referanslanmıştır.</w:t>
      </w:r>
    </w:p>
    <w:p w:rsidR="00D23DE4" w:rsidRDefault="00D23DE4">
      <w:pPr>
        <w:spacing w:before="8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41"/>
        <w:gridCol w:w="2651"/>
        <w:gridCol w:w="2220"/>
        <w:gridCol w:w="3814"/>
      </w:tblGrid>
      <w:tr w:rsidR="00D23DE4">
        <w:tc>
          <w:tcPr>
            <w:tcW w:w="200"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D23DE4"/>
        </w:tc>
        <w:tc>
          <w:tcPr>
            <w:tcW w:w="3000"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Belge</w:t>
            </w:r>
          </w:p>
        </w:tc>
        <w:tc>
          <w:tcPr>
            <w:tcW w:w="2500"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TR Durumu</w:t>
            </w:r>
          </w:p>
        </w:tc>
        <w:tc>
          <w:tcPr>
            <w:tcW w:w="3326"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Birincil Kaynak</w:t>
            </w:r>
          </w:p>
        </w:tc>
      </w:tr>
      <w:tr w:rsidR="00D23DE4">
        <w:tc>
          <w:tcPr>
            <w:tcW w:w="2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b/>
                <w:bCs/>
                <w:color w:val="000000"/>
                <w:sz w:val="18"/>
                <w:szCs w:val="18"/>
              </w:rPr>
              <w:t>1</w:t>
            </w:r>
          </w:p>
        </w:tc>
        <w:tc>
          <w:tcPr>
            <w:tcW w:w="30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color w:val="000000"/>
                <w:sz w:val="18"/>
                <w:szCs w:val="18"/>
              </w:rPr>
              <w:t>CEPT T/R 61-01 — CEPT Amatör Telsiz Lisansı (Şubat 2024 rev.): CEPT ülkeleri arasında amatörlerin kısa süreli ziyarette bireysel geçici lisans almadan çalışması.</w:t>
            </w:r>
          </w:p>
        </w:tc>
        <w:tc>
          <w:tcPr>
            <w:tcW w:w="25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color w:val="000000"/>
                <w:sz w:val="18"/>
                <w:szCs w:val="18"/>
              </w:rPr>
              <w:t>KISMÎ UYGULANIYOR — TR taraftır; A sınıfı belge sahipleri KEGM'nin düzenlediği HAREC (T/R 61-02) sayesinde bu kapsamdadır. Boşluk: B/C sınıfı HAREC muadili taşımaz.</w:t>
            </w:r>
          </w:p>
        </w:tc>
        <w:tc>
          <w:tcPr>
            <w:tcW w:w="33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0A506A" w:rsidRPr="000A506A" w:rsidRDefault="00EF56A4">
            <w:pPr>
              <w:rPr>
                <w:color w:val="000000"/>
                <w:sz w:val="18"/>
                <w:szCs w:val="18"/>
              </w:rPr>
            </w:pPr>
            <w:r>
              <w:rPr>
                <w:color w:val="000000"/>
                <w:sz w:val="18"/>
                <w:szCs w:val="18"/>
              </w:rPr>
              <w:t>docdb.cept.org/download/2ae38a89-e58a/TR6101.pdf</w:t>
            </w:r>
          </w:p>
        </w:tc>
      </w:tr>
      <w:tr w:rsidR="00D23DE4">
        <w:tc>
          <w:tcPr>
            <w:tcW w:w="2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b/>
                <w:bCs/>
                <w:color w:val="000000"/>
                <w:sz w:val="18"/>
                <w:szCs w:val="18"/>
              </w:rPr>
              <w:t>2</w:t>
            </w:r>
          </w:p>
        </w:tc>
        <w:tc>
          <w:tcPr>
            <w:tcW w:w="30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color w:val="000000"/>
                <w:sz w:val="18"/>
                <w:szCs w:val="18"/>
              </w:rPr>
              <w:t>CEPT T/R 61-02 — HAREC (Harmonised Amateur Radio Examination Certificate, Şubat 2016 rev.): Sınav başarısını belgeleyen harmonize sertifika; uzun süreli ikamette karşılıklı lisansı kolaylaştırır.</w:t>
            </w:r>
          </w:p>
        </w:tc>
        <w:tc>
          <w:tcPr>
            <w:tcW w:w="25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color w:val="000000"/>
                <w:sz w:val="18"/>
                <w:szCs w:val="18"/>
              </w:rPr>
              <w:t>UYGULANIYOR (A sınıfı) — KEGM, A sınıfı belge sahiplerine dört dilde "HAREC DOCUMENT" düzenlemektedir. Boşluk: B/C sınıfı için HAREC muadili yoktur.</w:t>
            </w:r>
          </w:p>
        </w:tc>
        <w:tc>
          <w:tcPr>
            <w:tcW w:w="33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docdb.cept.org/download/2569</w:t>
            </w:r>
          </w:p>
        </w:tc>
      </w:tr>
      <w:tr w:rsidR="00D23DE4">
        <w:tc>
          <w:tcPr>
            <w:tcW w:w="2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b/>
                <w:bCs/>
                <w:color w:val="000000"/>
                <w:sz w:val="18"/>
                <w:szCs w:val="18"/>
              </w:rPr>
              <w:t>3</w:t>
            </w:r>
          </w:p>
        </w:tc>
        <w:tc>
          <w:tcPr>
            <w:tcW w:w="30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ECC Recommendation (05)06 — CEPT Novice (Giriş Seviyesi) Lisans: Sınırlı bantlarda harmonize giriş lisans çerçevesi.</w:t>
            </w:r>
          </w:p>
        </w:tc>
        <w:tc>
          <w:tcPr>
            <w:tcW w:w="25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KISMI — C sınıfı belge var; ECC (05)06 uyumu teyit edilmemiş.</w:t>
            </w:r>
          </w:p>
        </w:tc>
        <w:tc>
          <w:tcPr>
            <w:tcW w:w="33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docdb.cept.org/download/2768</w:t>
            </w:r>
          </w:p>
        </w:tc>
      </w:tr>
      <w:tr w:rsidR="00D23DE4">
        <w:tc>
          <w:tcPr>
            <w:tcW w:w="2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b/>
                <w:bCs/>
                <w:color w:val="000000"/>
                <w:sz w:val="18"/>
                <w:szCs w:val="18"/>
              </w:rPr>
              <w:t>4</w:t>
            </w:r>
          </w:p>
        </w:tc>
        <w:tc>
          <w:tcPr>
            <w:tcW w:w="30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IARU R1 HF Band Plan: FT8, JS8Call, WSPR, Winlink için frekans segmentleri tanımlı.</w:t>
            </w:r>
          </w:p>
        </w:tc>
        <w:tc>
          <w:tcPr>
            <w:tcW w:w="25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EKSIK UYUM — BTK TAD 2021 bu modları emisyon tipi olarak listelemiyor.</w:t>
            </w:r>
          </w:p>
        </w:tc>
        <w:tc>
          <w:tcPr>
            <w:tcW w:w="33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iaru-r1.org/wp-content/uploads/2019/08/hf_r1_bandplan.pdf</w:t>
            </w:r>
          </w:p>
        </w:tc>
      </w:tr>
      <w:tr w:rsidR="00D23DE4">
        <w:tc>
          <w:tcPr>
            <w:tcW w:w="2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b/>
                <w:bCs/>
                <w:color w:val="000000"/>
                <w:sz w:val="18"/>
                <w:szCs w:val="18"/>
              </w:rPr>
              <w:t>5</w:t>
            </w:r>
          </w:p>
        </w:tc>
        <w:tc>
          <w:tcPr>
            <w:tcW w:w="30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IARU ETG (Emergency Telecommunications Guide): Ulusal afet kurumlarıyla MOU çerçevesi; Türkçe baskısı mevcut.</w:t>
            </w:r>
          </w:p>
        </w:tc>
        <w:tc>
          <w:tcPr>
            <w:tcW w:w="25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KISMÎ — TRAC, afet haberleşme grubu planı yazışmalarında ismen 'çözüm ortağı'; ancak görev içeriği kamuya açık değil, bireysel amatör tanımsız.</w:t>
            </w:r>
          </w:p>
        </w:tc>
        <w:tc>
          <w:tcPr>
            <w:tcW w:w="33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iaru-r1.org/on-the-air/emergency-communications/</w:t>
            </w:r>
          </w:p>
        </w:tc>
      </w:tr>
      <w:tr w:rsidR="00D23DE4">
        <w:tc>
          <w:tcPr>
            <w:tcW w:w="2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b/>
                <w:bCs/>
                <w:color w:val="000000"/>
                <w:sz w:val="18"/>
                <w:szCs w:val="18"/>
              </w:rPr>
              <w:t>6</w:t>
            </w:r>
          </w:p>
        </w:tc>
        <w:tc>
          <w:tcPr>
            <w:tcW w:w="30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WRC-23 23cm Dipnotu (1 Ocak 2025 yürürlük): RNSS ile birlikte yaşam kılavuzu.</w:t>
            </w:r>
          </w:p>
        </w:tc>
        <w:tc>
          <w:tcPr>
            <w:tcW w:w="25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EKSIK — BTK MFP ve TAD 2021 bu dipnotu henüz yansıtmıyor.</w:t>
            </w:r>
          </w:p>
        </w:tc>
        <w:tc>
          <w:tcPr>
            <w:tcW w:w="33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iaru-r1.org/2023/wrc-23-outcome/</w:t>
            </w:r>
          </w:p>
        </w:tc>
      </w:tr>
      <w:tr w:rsidR="00D23DE4">
        <w:tc>
          <w:tcPr>
            <w:tcW w:w="200"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b/>
                <w:bCs/>
                <w:color w:val="000000"/>
                <w:sz w:val="18"/>
                <w:szCs w:val="18"/>
              </w:rPr>
              <w:t>7</w:t>
            </w:r>
          </w:p>
        </w:tc>
        <w:tc>
          <w:tcPr>
            <w:tcW w:w="30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ITU-RR Md.25 §25.2A (WRC-03): Kodlama yasağı 'anlam gizleme amacı' testiyle sınırlandırıldı; açık protokoller (FT8, Winlink) kapsam dışında.</w:t>
            </w:r>
          </w:p>
        </w:tc>
        <w:tc>
          <w:tcPr>
            <w:tcW w:w="2500"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EKSIK YANSIMA — TAD 2021 ve FTM Tablo 25 bu ayrımı yapmamaktadır.</w:t>
            </w:r>
          </w:p>
        </w:tc>
        <w:tc>
          <w:tcPr>
            <w:tcW w:w="33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oz5bir.dk/wp-content/uploads/2018/10/ITU-Artikel-25.pdf</w:t>
            </w:r>
          </w:p>
        </w:tc>
      </w:tr>
    </w:tbl>
    <w:p w:rsidR="00D23DE4" w:rsidRDefault="00D23DE4">
      <w:pPr>
        <w:spacing w:before="200"/>
      </w:pPr>
    </w:p>
    <w:p w:rsidR="00D23DE4" w:rsidRDefault="00EF56A4">
      <w:r>
        <w:br w:type="page"/>
      </w:r>
    </w:p>
    <w:p w:rsidR="00D23DE4" w:rsidRDefault="00EF56A4">
      <w:pPr>
        <w:pStyle w:val="Heading10"/>
        <w:pBdr>
          <w:bottom w:val="single" w:sz="6" w:space="4" w:color="2E75B6"/>
        </w:pBdr>
      </w:pPr>
      <w:r>
        <w:lastRenderedPageBreak/>
        <w:t>3. Gri Alanlar</w:t>
      </w:r>
    </w:p>
    <w:p w:rsidR="00D23DE4" w:rsidRDefault="00EF56A4">
      <w:pPr>
        <w:spacing w:before="80" w:after="120"/>
      </w:pPr>
      <w:r>
        <w:t>Her gri alan için: sorun özeti, TR mevzuatı referansı, IARU/CEPT karşıtlığı, diğer ülke örnekleri ve talep önerisi birincil kaynaklarla sunulmuştur.</w:t>
      </w:r>
    </w:p>
    <w:p w:rsidR="00D23DE4" w:rsidRDefault="00D23DE4">
      <w:pPr>
        <w:spacing w:before="80"/>
      </w:pPr>
    </w:p>
    <w:p w:rsidR="00D23DE4" w:rsidRDefault="00EF56A4">
      <w:pPr>
        <w:pStyle w:val="Heading30"/>
      </w:pPr>
      <w:r>
        <w:t>GA-1 — Özel Amatör Telsizcilik Yönetmeliği Eksikliği</w:t>
      </w:r>
    </w:p>
    <w:p w:rsidR="00D23DE4" w:rsidRDefault="00EF56A4">
      <w:pPr>
        <w:spacing w:before="80" w:after="120"/>
      </w:pPr>
      <w:r>
        <w:rPr>
          <w:b/>
          <w:bCs/>
        </w:rPr>
        <w:t>Sorun / Belirsizlik:</w:t>
      </w:r>
    </w:p>
    <w:p w:rsidR="00D23DE4" w:rsidRDefault="00EF56A4">
      <w:pPr>
        <w:spacing w:before="80" w:after="120"/>
      </w:pPr>
      <w:r>
        <w:t>Telekomünikasyon Kurumu'nca 18.03.2004 tarihli ve 25406 sayılı Resmî Gazete'de yayımlanan Amatör Telsizcilik Yönetmeliği sonradan yürürlükten kaldırılmış; yerine geçen kapsamlı bir yönetmelik çıkarılmamıştır. Amatörlerin hakları yedi farklı mevzuattan derlenmek zorundadır.</w:t>
      </w:r>
    </w:p>
    <w:p w:rsidR="00D23DE4" w:rsidRDefault="00D23DE4">
      <w:pPr>
        <w:spacing w:before="6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5809 EHK Md.37/3 (RG 27050, 10.11.2008); Spektrum Yön. Md.7-8 (RG 27276); Telsiz Yön. Md.2/4 (RG 27291); FTM Yön.+Tablo 25 (RG 30608); KEGM Yön. Md.4/1e (RG 27482).</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CEPT/ECC çerçevesi, üye idarelerin amatör telsizciliğe ilişkin ulusal düzenleme yapmasını teşvik eder. IARU: Üye kuruluşlar (dernek ve kulüpler — IARU Bölge 1 TR) ulusal yönetmelik lobi faaliyeti yürütmelidir.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 Amateurfunkverordnung (AFuV) — tek kapsamlı yönetmelik. GB: Wireless Telegraphy Act + Ofcom NoV sistemi. US: FCC Part 97 — bağımsız amatör servis yönetmeliği.</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BTK'dan Talep: Amatör telsizcilik için güncel, kapsamlı ve tek parça yönetmelik (söz. bir 'Part 97 TR') hazırlanması.</w:t>
            </w:r>
          </w:p>
        </w:tc>
      </w:tr>
    </w:tbl>
    <w:p w:rsidR="00D23DE4" w:rsidRDefault="00EF56A4">
      <w:pPr>
        <w:spacing w:before="40" w:after="80"/>
      </w:pPr>
      <w:r>
        <w:rPr>
          <w:b/>
          <w:bCs/>
          <w:color w:val="555555"/>
          <w:sz w:val="17"/>
          <w:szCs w:val="17"/>
        </w:rPr>
        <w:t>Kaynak: Mülga 2004 Yönetmeliği: RG 25406 (18.03.2004); dayanağı 2813 sayılı Telsiz Kanunu (RG 18011).</w:t>
      </w:r>
    </w:p>
    <w:p w:rsidR="00D23DE4" w:rsidRDefault="00D23DE4">
      <w:pPr>
        <w:spacing w:before="120"/>
      </w:pPr>
    </w:p>
    <w:p w:rsidR="00D23DE4" w:rsidRDefault="00EF56A4">
      <w:pPr>
        <w:pStyle w:val="Heading30"/>
      </w:pPr>
      <w:r>
        <w:t>GA-2 — Belge Sınıfları (A/B/C) Arasındaki Hak Tanımlamasının Belirsizliği</w:t>
      </w:r>
    </w:p>
    <w:p w:rsidR="00D23DE4" w:rsidRDefault="00EF56A4">
      <w:pPr>
        <w:spacing w:before="80" w:after="120"/>
      </w:pPr>
      <w:r>
        <w:rPr>
          <w:b/>
          <w:bCs/>
        </w:rPr>
        <w:t>Sorun / Belirsizlik:</w:t>
      </w:r>
    </w:p>
    <w:p w:rsidR="00D23DE4" w:rsidRDefault="00EF56A4">
      <w:pPr>
        <w:spacing w:before="80" w:after="120"/>
      </w:pPr>
      <w:r>
        <w:t>A, B ve C sınıfı amatör belgelerinin yetkili frekans bantları ve azami güç değerleri, BTK FTM Teknik Ölçütler (BTK Kurul Kararı 23.09.2022, 2022/İK-SYD/245) Madde 22 ve Tablo 25’inde sınıf sütunlu bir tablo hâlinde yayımlanmıştır. Buna karşılık KEGM Sınav Yönetmeliği, yetki içeriği için doğrudan bu tabloya değil, 27/11/2018’de mülga edilen Özel Telsiz Sistemleri Yönetmeliği’ne atıf yapmayı sürdürmektedir; ayrıca aynı bilgi TAD 2021 ile FTM Teknik Ölçütler arasında bölünmüştür. Sonuç olarak sorun tablonun yokluğu değil, yetki içeriğinin amatörlere özgü ve güncel bir düzenlemede toplanmamış olmasıdır. (Ayrıntı: GA-BAND-1.)</w:t>
      </w:r>
    </w:p>
    <w:p w:rsidR="00D23DE4" w:rsidRDefault="00D23DE4">
      <w:pPr>
        <w:spacing w:before="6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KEGM Sınav Yönetmeliği (RG 27482): Sınıf tanımı var; yetki içeriği için Md.18 ile mülga Özel Telsiz Sistemleri Yönetmeliği EK-4 Tablo-1’e atıf — atıf zinciri kırık. BTK FTM Teknik Ölçütler (BTK Kurul Kararı 23.09.2022, 2022/İK-SYD/245) Madde 22 ve Tablo 25: sınıf bazlı bant, güç ve emisyon yetkileri “İzin verilen belge sınıfı” sütunuyla yayımlanmıştır; Md.22 §10 uyarınca B ve C sınıfı sorumlu operatör gözetiminde tüm bantları kullanabilir. BTK TAD 2021: 135.7-137.8 kHz ve 472-479 kHz için yalnızca ‘A Sınıfı’; bilgi iki belge arasında dağınıktır.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CEPT T/R 61-01 (Şubat 2024): Tier 1 (HF dahil tam lisans) ve Tier 2 (VHF/UHF sınırlı) ayrımı açık tablo olarak verilir. IARU HAREC: Sınav konusu ve yetki eşleşme tablosu kamuya açık.</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DE/GB/FR: Her sınıf için yetkili bantlar ve max güç mevzuatın ekinde açık tabloda. US: FCC Part 97.301 — Technician/General/Extra lisans yetkilerini bant bazında tablolar.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BTK/KEGM'den Talep: Her belge sınıfının yetkili frekans bantlarını ve max ERP/PEP değerlerini gösteren resmi tablonun yönetmelik ekine alınması.</w:t>
            </w:r>
          </w:p>
        </w:tc>
      </w:tr>
    </w:tbl>
    <w:p w:rsidR="00D23DE4" w:rsidRDefault="00EF56A4">
      <w:pPr>
        <w:spacing w:before="40" w:after="80"/>
      </w:pPr>
      <w:r>
        <w:rPr>
          <w:b/>
          <w:bCs/>
          <w:color w:val="555555"/>
          <w:sz w:val="17"/>
          <w:szCs w:val="17"/>
        </w:rPr>
        <w:t xml:space="preserve">Kaynak: </w:t>
      </w:r>
      <w:r>
        <w:rPr>
          <w:color w:val="2E75B6"/>
          <w:sz w:val="17"/>
          <w:szCs w:val="17"/>
        </w:rPr>
        <w:t>BTK TAD 2021: btk.gov.tr/uploads/pages/amatör-sistemleri-tad.pdf</w:t>
      </w:r>
    </w:p>
    <w:p w:rsidR="00D23DE4" w:rsidRDefault="00D23DE4">
      <w:pPr>
        <w:spacing w:before="120"/>
      </w:pPr>
    </w:p>
    <w:p w:rsidR="000A506A" w:rsidRDefault="000A506A">
      <w:pPr>
        <w:rPr>
          <w:b/>
          <w:bCs/>
          <w:color w:val="404040"/>
          <w:sz w:val="22"/>
          <w:szCs w:val="22"/>
        </w:rPr>
      </w:pPr>
      <w:r>
        <w:br w:type="page"/>
      </w:r>
    </w:p>
    <w:p w:rsidR="00D23DE4" w:rsidRDefault="00EF56A4">
      <w:pPr>
        <w:pStyle w:val="Heading30"/>
      </w:pPr>
      <w:r>
        <w:lastRenderedPageBreak/>
        <w:t>GA-3 — CEPT T/R 61-01/61-02: B/C Sınıfı Yurt Dışı Operasyon Boşluğu ve Farkındalık Eksikliği</w:t>
      </w:r>
    </w:p>
    <w:p w:rsidR="00D23DE4" w:rsidRDefault="00EF56A4">
      <w:pPr>
        <w:spacing w:before="80" w:after="120"/>
      </w:pPr>
      <w:r>
        <w:rPr>
          <w:b/>
          <w:bCs/>
        </w:rPr>
        <w:t>Sorun / Belirsizlik:</w:t>
      </w:r>
    </w:p>
    <w:p w:rsidR="00D23DE4" w:rsidRDefault="00EF56A4">
      <w:pPr>
        <w:spacing w:before="80" w:after="120"/>
      </w:pPr>
      <w:r>
        <w:t>Türkiye, CEPT T/R 61-01 (geçici ziyaretçi operasyonu, azami 3 ay) ve T/R 61-02 (HAREC — Harmonised Amateur Radio Examination Certificate) tavsiyelerine taraftır. KEGM, A sınıfı belge sahiplerine "HAREC DOCUMENT" ibareli sertifika düzenlemekte; sertifikada sınavın CEPT T/R 61-02 müfredatına karşılık geldiği dört dilde beyan edilmektedir. Gerçek boşluk iki alandadır: (1) B ve C sınıfı belge sahipleri HAREC eşdeğeri taşımadığından T/R 61-01 kapsamında yurt dışı operasyon hakkına sahip değildir — bu kişilerin CEPT ülkelerinde çalışması için ziyaret edilen ülkeden ayrıca bireysel izin alması gerekmektedir. (2) A sınıfı sahiplerin yurt dışında T/R 61-01 kapsamında çalışma hakkı ve yabancı CEPT operatörlerinin Türkiye'de T/R 61-01 kapsamında çalışma usulü (KEGM'e bildirim zorunluluğu) toplulukta yeterince bilinmemektedir.</w:t>
      </w:r>
    </w:p>
    <w:p w:rsidR="00D23DE4" w:rsidRDefault="00D23DE4">
      <w:pPr>
        <w:spacing w:before="6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Mevcut mevzuatta yabancı amatör operatörlerin Türkiye'deki geçici faaliyet koşullarına ilişkin açık bir düzenleme bulunmamaktadır.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CEPT T/R 61-01 (Şubat 2024): 'CEPT üye idareler, diğer CEPT ülkelerinden HAREC belge sahiplerinin kendi ülkelerinde geçici lisans almadan faaliyet göstermesine izin verir.' Kaynak: docdb.cept.org/download/2ae38a89-e58a/TR6101.pdf</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46 CEPT üyesinin çoğunluğu T/R 61-01 uygulamasında. US: FCC, T/R 61-01 uygulayan CEPT ülkesi vatandaşlarına karşılıklı arama işareti tanımaktadır (FCC Part 97.107).</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Ulaştırma Bakanlığı / BTK'dan Talep: CEPT T/R 61-01 ve T/R 61-02 tavsiyelerinin kabul edilerek yönetmeliklere yansıtılması; KEGM belgelerinin HAREC muadili olarak tescili.</w:t>
            </w:r>
          </w:p>
        </w:tc>
      </w:tr>
    </w:tbl>
    <w:p w:rsidR="00D23DE4" w:rsidRDefault="00EF56A4">
      <w:pPr>
        <w:spacing w:before="40" w:after="80"/>
      </w:pPr>
      <w:r>
        <w:rPr>
          <w:b/>
          <w:bCs/>
          <w:color w:val="555555"/>
          <w:sz w:val="17"/>
          <w:szCs w:val="17"/>
        </w:rPr>
        <w:t xml:space="preserve">Kaynak: </w:t>
      </w:r>
      <w:r>
        <w:rPr>
          <w:color w:val="2E75B6"/>
          <w:sz w:val="17"/>
          <w:szCs w:val="17"/>
        </w:rPr>
        <w:t>CEPT T/R 61-01: docdb.cept.org/download/2ae38a89-e58a/TR6101.pdf</w:t>
      </w:r>
    </w:p>
    <w:p w:rsidR="00D23DE4" w:rsidRDefault="00EF56A4">
      <w:pPr>
        <w:spacing w:before="40" w:after="80"/>
      </w:pPr>
      <w:r>
        <w:rPr>
          <w:b/>
          <w:bCs/>
          <w:color w:val="555555"/>
          <w:sz w:val="17"/>
          <w:szCs w:val="17"/>
        </w:rPr>
        <w:t xml:space="preserve">Kaynak: </w:t>
      </w:r>
      <w:r>
        <w:rPr>
          <w:color w:val="2E75B6"/>
          <w:sz w:val="17"/>
          <w:szCs w:val="17"/>
        </w:rPr>
        <w:t>CEPT T/R 61-02: docdb.cept.org/download/2569</w:t>
      </w:r>
    </w:p>
    <w:p w:rsidR="00D23DE4" w:rsidRDefault="00D23DE4">
      <w:pPr>
        <w:spacing w:before="120"/>
      </w:pPr>
    </w:p>
    <w:p w:rsidR="00D23DE4" w:rsidRDefault="00EF56A4">
      <w:pPr>
        <w:pStyle w:val="Heading30"/>
      </w:pPr>
      <w:r>
        <w:t>GA-4 — Yurt Dışı Geçici Cihaz Çıkışı (Gümrük)</w:t>
      </w:r>
    </w:p>
    <w:p w:rsidR="00D23DE4" w:rsidRDefault="00EF56A4">
      <w:pPr>
        <w:spacing w:before="80" w:after="120"/>
      </w:pPr>
      <w:r>
        <w:rPr>
          <w:b/>
          <w:bCs/>
        </w:rPr>
        <w:t>Sorun / Belirsizlik:</w:t>
      </w:r>
    </w:p>
    <w:p w:rsidR="00D23DE4" w:rsidRDefault="00EF56A4">
      <w:pPr>
        <w:spacing w:before="80" w:after="120"/>
      </w:pPr>
      <w:r>
        <w:t>Amatör telsizcilerin seyahat amacı ile telsiz cihazını yurt dışına çıkarması gümrük uygulamasında standart bir prosedürden yoksundur. Gümrük Yönetmeliği Ek-71 kullanılmakla birlikte uygulama il bazında farklılık göstermektedir.</w:t>
      </w:r>
    </w:p>
    <w:p w:rsidR="00D23DE4" w:rsidRDefault="00D23DE4">
      <w:pPr>
        <w:spacing w:before="6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TC Gümrük Yönetmeliği Ek-71: Ticari niteliğinde olmayan eşyanın geçici ihracatı; amatör telsiz cihazlarına özgü madde veya rehber yok.</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CEPT T/R 61-02 — HAREC (Harmonised Amateur Radio Examination Certificate, Şubat 2016 rev.): Sınav başarısını belgeleyen harmonize sertifika; uzun süreli ikamette karşılıklı lisansı kolaylaştırır.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CEPT üyesi çoğu ülke: Geçici ithalatta ATA Carneti veya basit beyan; gümrük muafiyeti. US: FCC ruhsatı ve ithalat beyannamesi standart. TR: Ek-71 formu geçerli ancak standart değil.</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KEGM / Gümrük ve Ticaret Bakanlığı'ndan Talep: Amatör telsiz cihazlarının geçici çıkışı için standart prosedür belgesi ve gümrük rehberi yayımlanması.</w:t>
            </w:r>
          </w:p>
        </w:tc>
      </w:tr>
    </w:tbl>
    <w:p w:rsidR="00D23DE4" w:rsidRDefault="00D23DE4">
      <w:pPr>
        <w:spacing w:before="120"/>
      </w:pPr>
    </w:p>
    <w:p w:rsidR="000A506A" w:rsidRDefault="000A506A">
      <w:pPr>
        <w:rPr>
          <w:b/>
          <w:bCs/>
          <w:color w:val="404040"/>
          <w:sz w:val="22"/>
          <w:szCs w:val="22"/>
        </w:rPr>
      </w:pPr>
      <w:r>
        <w:br w:type="page"/>
      </w:r>
    </w:p>
    <w:p w:rsidR="00D23DE4" w:rsidRDefault="00EF56A4">
      <w:pPr>
        <w:pStyle w:val="Heading30"/>
      </w:pPr>
      <w:r>
        <w:t>GA-5 — SDR ve Dijital Mod Sistemlerinin Kapsam Belirsizliği</w:t>
      </w:r>
    </w:p>
    <w:p w:rsidR="00D23DE4" w:rsidRDefault="00EF56A4">
      <w:pPr>
        <w:spacing w:before="80" w:after="120"/>
      </w:pPr>
      <w:r>
        <w:rPr>
          <w:b/>
          <w:bCs/>
        </w:rPr>
        <w:t>Sorun / Belirsizlik:</w:t>
      </w:r>
    </w:p>
    <w:p w:rsidR="00D23DE4" w:rsidRDefault="00EF56A4">
      <w:pPr>
        <w:spacing w:before="80" w:after="120"/>
      </w:pPr>
      <w:r>
        <w:t>Yazılım Tanımlı Telsiz (SDR) sistemler ve FT8, WSPR, JS8Call, D-STAR, DMR, C4FM, DATV gibi dijital modlar BTK TAD 2021'de emisyon tipi olarak tanımlanmamıştır. Bu durum ruhsat muafiyetinin bu sistemleri kapsayıp kapsamadığını belirsizleştirir.</w:t>
      </w:r>
    </w:p>
    <w:p w:rsidR="00D23DE4" w:rsidRDefault="00D23DE4">
      <w:pPr>
        <w:spacing w:before="6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BTK TAD 2021: Emisyon tipleri A1A, J3E, F3E gibi geleneksel modlar; FT8/WSPR gibi yeni dijital modlar listede yok. FTM Teknik Ölçütler Tablo 25-1: Emisyon tipi listesi bu modları kapsamamaktadır. Buna karşılık BTK FTM Teknik Ölçütler (BTK Kurul Kararı 23.09.2022, 2022/İK-SYD/245) Md.22 §13, amatör haberleşmede kullanılan yöntemler arasında Q kodları, mors kodu, RTTY, SSTV, FSTV, PSK, PACTOR, AMPR, APRS ve TCP/IP'yi ismen saymaktadır. Dolayısıyla dijital modlar mevzuatta tümüyle tanımsız değildir; boşluk, emisyon tipi tablolarının (TAD 2021 / Tablo 25-1) bu yöntemlerle güncellenmemiş olmasıdır.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R1 HF Bandplan (2019): FT8, FT4, JS8Call, Winlink için özel frekans segmentleri tanımlıdır. IARU R1 VHF Handbook v10 (2026): D-STAR, DMR, C4FM, DATV için band segmentleri. Kaynak: iaru-r1.org/wp-content/uploads/2019/08/hf_r1_bandplan.pdf</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DE/GB/US: FT8, WSPR, Winlink, D-STAR, DMR kullanımı amatör lisans kapsamında serbest; ulusal band planlarına entegre. IARU R1 üye kuruluşları IARU bandplanını ulusal planlara doğrudan almaktadır.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BTK'dan Talep: TAD 2021'in güncellenmesi; FT8, FT4, JS8Call, WSPR, Winlink/VARA, APRS, D-STAR, DMR, C4FM, DATV'nin emisyon tipi olarak eklenmesi; SDR sistemlerin kapsama alınması.</w:t>
            </w:r>
          </w:p>
        </w:tc>
      </w:tr>
    </w:tbl>
    <w:p w:rsidR="00D23DE4" w:rsidRDefault="00EF56A4">
      <w:pPr>
        <w:spacing w:before="40" w:after="80"/>
      </w:pPr>
      <w:r>
        <w:rPr>
          <w:b/>
          <w:bCs/>
          <w:color w:val="555555"/>
          <w:sz w:val="17"/>
          <w:szCs w:val="17"/>
        </w:rPr>
        <w:t xml:space="preserve">Kaynak: </w:t>
      </w:r>
      <w:r>
        <w:rPr>
          <w:color w:val="2E75B6"/>
          <w:sz w:val="17"/>
          <w:szCs w:val="17"/>
        </w:rPr>
        <w:t>BTK TAD 2021: btk.gov.tr/uploads/pages/amatör-sistemleri-tad.pdf</w:t>
      </w:r>
    </w:p>
    <w:p w:rsidR="00D23DE4" w:rsidRDefault="00EF56A4">
      <w:pPr>
        <w:spacing w:before="40" w:after="80"/>
      </w:pPr>
      <w:r>
        <w:rPr>
          <w:b/>
          <w:bCs/>
          <w:color w:val="555555"/>
          <w:sz w:val="17"/>
          <w:szCs w:val="17"/>
        </w:rPr>
        <w:t xml:space="preserve">Kaynak: </w:t>
      </w:r>
      <w:r>
        <w:rPr>
          <w:color w:val="2E75B6"/>
          <w:sz w:val="17"/>
          <w:szCs w:val="17"/>
        </w:rPr>
        <w:t>IARU R1 HF Bandplan: iaru-r1.org/wp-content/uploads/2019/08/hf_r1_bandplan.pdf</w:t>
      </w:r>
    </w:p>
    <w:p w:rsidR="00D23DE4" w:rsidRDefault="00D23DE4">
      <w:pPr>
        <w:spacing w:before="120"/>
      </w:pPr>
    </w:p>
    <w:p w:rsidR="00D23DE4" w:rsidRDefault="00EF56A4">
      <w:pPr>
        <w:pStyle w:val="Heading30"/>
      </w:pPr>
      <w:r>
        <w:t>GA-6 — Anten Kurulumu ve Kat Mülkiyeti Çatışması</w:t>
      </w:r>
    </w:p>
    <w:p w:rsidR="00D23DE4" w:rsidRDefault="00EF56A4">
      <w:pPr>
        <w:spacing w:before="80" w:after="120"/>
      </w:pPr>
      <w:r>
        <w:rPr>
          <w:b/>
          <w:bCs/>
        </w:rPr>
        <w:t>Sorun / Belirsizlik:</w:t>
      </w:r>
    </w:p>
    <w:p w:rsidR="00D23DE4" w:rsidRDefault="00EF56A4">
      <w:pPr>
        <w:spacing w:before="80" w:after="120"/>
      </w:pPr>
      <w:r>
        <w:t>Amatör telsiz anteni kurmak isteyen operatörler kat mülkiyeti yönetimi ile çatışmaktadır. Mevzuatta amatör antene özgü muafiyet veya hak tanımı bulunmamakta; 634 sayılı KMK Md.19 ortak alanlardaki değişiklikleri kat maliklerinin nitelikli çoğunluğunun onayına baglamaktadır.</w:t>
      </w:r>
    </w:p>
    <w:p w:rsidR="00D23DE4" w:rsidRDefault="00D23DE4">
      <w:pPr>
        <w:spacing w:before="6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5809 EHK Md.37/3 istasyon kurulumunu kapsar; anten konusunda KMK Md.19 ile çatışma çözümsüz. BTK FTM Yönetmeliği: Anten kurulumuna özgü muafiyet yok.</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VHF Handbook v10: Ulusal mevzuatın anten kurulumunu destekler nitelikte olması tavsiye edilir. IARU VHF El Kitabı ve CEPT çerçevesi, amatör anten kurulumunu kolaylaştıran yasal ortamı teşvik eder.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ES/BE/NL: Amatör telsiz anteni kurulumuna özel yasal güvence. DE: BNetzA (BTK muadili) amatör antenleri için KMK muadili çatışmayı açıklamıştır. TR'de emsal mahkeme kararları dağınık.</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Ulaştırma Bakanlığı / Çevre Bakanlığı'ndan Talep: 634 KMK Md.19 ile çatışmayı gideren yasal düzenleme veya BTK/KEGM'den açıklayıcı genelge.</w:t>
            </w:r>
          </w:p>
        </w:tc>
      </w:tr>
    </w:tbl>
    <w:p w:rsidR="00D23DE4" w:rsidRDefault="00D23DE4">
      <w:pPr>
        <w:spacing w:before="120"/>
      </w:pPr>
    </w:p>
    <w:p w:rsidR="00D23DE4" w:rsidRDefault="00EF56A4">
      <w:pPr>
        <w:pStyle w:val="Heading30"/>
      </w:pPr>
      <w:r>
        <w:t>GA-RX — RX (Dinleme) Faaliyetinin Hukuki Statüsü</w:t>
      </w:r>
    </w:p>
    <w:p w:rsidR="00D23DE4" w:rsidRDefault="00EF56A4">
      <w:pPr>
        <w:spacing w:before="80" w:after="120"/>
      </w:pPr>
      <w:r>
        <w:rPr>
          <w:b/>
          <w:bCs/>
        </w:rPr>
        <w:t>Sorun / Belirsizlik:</w:t>
      </w:r>
    </w:p>
    <w:p w:rsidR="00D23DE4" w:rsidRDefault="00EF56A4">
      <w:pPr>
        <w:spacing w:before="80" w:after="120"/>
      </w:pPr>
      <w:r>
        <w:t>Alıcı cihazlarla frekans dinlemesi (RX), sinyal yaymadığı için teknik olarak tespit edilemez. Buna karşın TR mevzuatında 'dinlemek serbest, yalnızca ifsa yasaktır' ilkesi kodifiye edilmemiştir. TCK Md.132-133 geniş yorumda uygulanabilir; yetkili satış noktaları hukuki dayanaksız biçimde RX kilitlemesi yaparak satış yapmaktadır. RTL-SDR dongle (24 MHz-1.766 GHz RX) kısıtsız satılırken el telsizinde RX kısıtlaması tutarsızlık yaratmaktadır.</w:t>
      </w:r>
    </w:p>
    <w:p w:rsidR="00D23DE4" w:rsidRDefault="00D23DE4">
      <w:pPr>
        <w:spacing w:before="6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TCK Md.132: Haberleşme gizliliği ihlali. TCK Md.133: Kişilerin konuşmalarını dinleme/kayıt. 5809 EHK Md.37/3: TX için muafiyet; RX için sessiz. BTK FTM Yönetmeliği: TX cihazı merkezli; RX-only için çerçeve yok.</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ITU-RR: RX eylemine kısıtlama önerisi yok. IARU: RX özgürlüğü uluslararası amatör topluluğunda norm olarak benimsenmiştir, ancak resmi IARU politika belgesi bulunmamaktadır.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 TKG §89 — 'Das Abhören... ist jedermann... verboten; ausgenommen... der Allgemeinheit zugangliche... Aussendungen.' Suçu ifsa tamamlar. US: ECPA 18 USC §2511 — dinleme değil ifsa/kullanım yasaklanmıştır. GB: WTA 2006 Md.48 — 'unauthorised disclosure' odaklı.</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BTK'dan Talep: 'RX eylemi serbesttir; suçu oluşturan ifsa ve hukuka aykırı kullanımıdir' ilkesinin 5809 EHK veya alt düzenlemede kodifiye edilmesi. Yetkili satıcı rehberinde RX kısıtlamasinin zorunlu olmadığının açıklanması.</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Strateji Notu</w:t>
            </w:r>
          </w:p>
        </w:tc>
        <w:tc>
          <w:tcPr>
            <w:tcW w:w="7626" w:type="dxa"/>
            <w:tcBorders>
              <w:top w:val="single" w:sz="1" w:space="0" w:color="2E75B6"/>
              <w:left w:val="single" w:sz="1" w:space="0" w:color="2E75B6"/>
              <w:bottom w:val="single" w:sz="1" w:space="0" w:color="2E75B6"/>
              <w:right w:val="single" w:sz="1" w:space="0" w:color="2E75B6"/>
            </w:tcBorders>
            <w:shd w:val="clear" w:color="auto" w:fill="FFF2CC"/>
            <w:tcMar>
              <w:top w:w="80" w:type="dxa"/>
              <w:left w:w="160" w:type="dxa"/>
              <w:bottom w:w="80" w:type="dxa"/>
              <w:right w:w="120" w:type="dxa"/>
            </w:tcMar>
          </w:tcPr>
          <w:p w:rsidR="00D23DE4" w:rsidRDefault="00EF56A4">
            <w:r>
              <w:rPr>
                <w:i/>
                <w:iCs/>
                <w:sz w:val="18"/>
                <w:szCs w:val="18"/>
              </w:rPr>
              <w:t>Dikkat: RTL-SDR, AIS, ADS-B alıntılanırken 'bunları da yasaklayın' cevabı gelmemesi için 'RX özgürlüğü tutarlılık gerektirir' çerçevesinde sunulmalıdır.</w:t>
            </w:r>
          </w:p>
        </w:tc>
      </w:tr>
    </w:tbl>
    <w:p w:rsidR="00D23DE4" w:rsidRDefault="00EF56A4">
      <w:pPr>
        <w:spacing w:before="40" w:after="80"/>
      </w:pPr>
      <w:r>
        <w:rPr>
          <w:b/>
          <w:bCs/>
          <w:color w:val="555555"/>
          <w:sz w:val="17"/>
          <w:szCs w:val="17"/>
        </w:rPr>
        <w:t xml:space="preserve">Kaynak: </w:t>
      </w:r>
      <w:r>
        <w:rPr>
          <w:color w:val="2E75B6"/>
          <w:sz w:val="17"/>
          <w:szCs w:val="17"/>
        </w:rPr>
        <w:t>DE TKG §89: gesetze-im-internet.de/tkg_2021/__89.html</w:t>
      </w:r>
    </w:p>
    <w:p w:rsidR="00D23DE4" w:rsidRDefault="00EF56A4">
      <w:pPr>
        <w:spacing w:before="40" w:after="80"/>
      </w:pPr>
      <w:r>
        <w:rPr>
          <w:b/>
          <w:bCs/>
          <w:color w:val="555555"/>
          <w:sz w:val="17"/>
          <w:szCs w:val="17"/>
        </w:rPr>
        <w:t xml:space="preserve">Kaynak: </w:t>
      </w:r>
      <w:r>
        <w:rPr>
          <w:color w:val="2E75B6"/>
          <w:sz w:val="17"/>
          <w:szCs w:val="17"/>
        </w:rPr>
        <w:t>US ECPA: law.cornell.edu/uscode/text/18/2511</w:t>
      </w:r>
    </w:p>
    <w:p w:rsidR="00D23DE4" w:rsidRDefault="00D23DE4">
      <w:pPr>
        <w:spacing w:before="120"/>
      </w:pPr>
    </w:p>
    <w:p w:rsidR="00D23DE4" w:rsidRDefault="00EF56A4" w:rsidP="00760C22">
      <w:pPr>
        <w:pStyle w:val="Heading30"/>
      </w:pPr>
      <w:r>
        <w:t xml:space="preserve">GA-RX Alt Konu: Kanal Hafıza Programlama ve Art Niyet Riski </w:t>
      </w:r>
    </w:p>
    <w:p w:rsidR="00D23DE4" w:rsidRPr="00760C22" w:rsidRDefault="00EF56A4" w:rsidP="00760C22">
      <w:pPr>
        <w:spacing w:before="80" w:after="120"/>
        <w:rPr>
          <w:b/>
          <w:bCs/>
        </w:rPr>
      </w:pPr>
      <w:r w:rsidRPr="00760C22">
        <w:rPr>
          <w:b/>
          <w:bCs/>
        </w:rPr>
        <w:t>Sorun / Belirsizlik:</w:t>
      </w:r>
    </w:p>
    <w:p w:rsidR="00D23DE4" w:rsidRDefault="00EF56A4">
      <w:r>
        <w:t>Tam açık (tüm bant) alıcı cihazlarda (SDR, geniş bantlı el telsizleri, skaner) 'favoriler' veya hafıza kanalına kayıt ile anlık tarama arasında hukuki anlam farkı vardır. Askeri, istihbarat veya güvenliği ihlal edebilecek frekansların (askerî taktik telsiz, emniyet, istihbarat) hafıza kanalına kaydedilmesi; pasif taramadan farklı olarak 'amacın ispatına' yarayan dolaylı delil niteliği taşıyabilmektedir. Türk mahkeme ve savcılıkları özellikle post-2016 süreçlerde telsiz hafizasındaki frekansları 'art niyet kanıtı' olarak değerlendirilmistir.</w:t>
      </w:r>
    </w:p>
    <w:p w:rsidR="00D23DE4" w:rsidRDefault="00D23DE4"/>
    <w:p w:rsidR="00D23DE4" w:rsidRDefault="00EF56A4">
      <w:r w:rsidRPr="006054A1">
        <w:rPr>
          <w:b/>
        </w:rPr>
        <w:t>Hukuki Çerçeve: (a)</w:t>
      </w:r>
      <w:r>
        <w:t xml:space="preserve"> Kanal kaydetme eyleminin kendi başına suç teşkil etmeyişi: 2813 Sayılı Kanun Md.36 'izinsiz dinleme' şeklinde ifade eder; hafızaya almak dinleme değil hazırlık olarak nitelendirilebilir. TCK Md.132 (haberleşmenin gizliliğini ihlal) ve Md.133 (konuşmaların dinlenmesi) 'dinlemek veya kayda almak' eylemini esas alır; kanal listesine yazma bu fiilin doğrudan unsuru değildir. </w:t>
      </w:r>
      <w:r w:rsidRPr="006054A1">
        <w:rPr>
          <w:b/>
        </w:rPr>
        <w:t xml:space="preserve">(b) </w:t>
      </w:r>
      <w:r>
        <w:t xml:space="preserve">Delil olarak kullanımı: CMK Md.134 kapsamında cihaza el konulduğunda hafızadaki frekans listesi incelenebilir; savcı bu listeyi 'kasıtlı, sistematik izleme hazırlığı' olarak nitelendirirse iddianamedeki alt fakt olur. TCK Md.329 (devlet güvenliğine ilişkin gizli bilgiler) veya 3713 TMK kapsamında ek suçlama yapılmış örnekler mevcuttur (kamuya açık mahkeme kararları ile doğrulanmamış; ancak savunma avukatları tarafından raporlanmıştır). </w:t>
      </w:r>
      <w:r w:rsidRPr="006054A1">
        <w:rPr>
          <w:b/>
        </w:rPr>
        <w:t>(c)</w:t>
      </w:r>
      <w:r>
        <w:t xml:space="preserve"> SDR ve yazılım tabanlı alıcılarda fark: GNU Radio, SDR#, GQRX gibi yazılımlarda frekans 'preset' dosyası (CSV/XML) hafızaya almakla eşit muamele görebilir; oysa anlık tarama (ort, scan komutu) aynı hukuki riski taşımaz. </w:t>
      </w:r>
      <w:r w:rsidRPr="006054A1">
        <w:rPr>
          <w:b/>
        </w:rPr>
        <w:t>(d)</w:t>
      </w:r>
      <w:r>
        <w:t xml:space="preserve"> Kanal kaydı olmaksızın dinleme: Taramanın devam etmesi, bir frekansta takılı kalmak (squelch açıkken) delil olarak daha belirsiz konumdadır; anlik dinlemenin ispatlanabilirlik güçlüğü nedeniyle hukuki riski daha düşüktür.</w:t>
      </w:r>
    </w:p>
    <w:p w:rsidR="00D23DE4" w:rsidRDefault="00D23DE4"/>
    <w:p w:rsidR="00D23DE4" w:rsidRDefault="00EF56A4">
      <w:r w:rsidRPr="006054A1">
        <w:rPr>
          <w:b/>
        </w:rPr>
        <w:t>Pratik Öneri: (1)</w:t>
      </w:r>
      <w:r>
        <w:t xml:space="preserve"> Amatör SDR veya geniş bantlı alıcı kullananlar, yazılım preset/hafıza dosyalarını yalnızca amatör/yayıncılık bantlarını içerecek şekilde tutmalı; askerî/güvenlik frekanslarını kaydetmekten kaçınmalı. </w:t>
      </w:r>
      <w:r w:rsidRPr="006054A1">
        <w:rPr>
          <w:b/>
        </w:rPr>
        <w:t>(2)</w:t>
      </w:r>
      <w:r>
        <w:t xml:space="preserve"> Eğitim amaçlı bile olsa bu frekansların kalıcı kaydı yerine anlık manuel tuning tercih edilmeli. </w:t>
      </w:r>
      <w:r w:rsidRPr="006054A1">
        <w:rPr>
          <w:b/>
        </w:rPr>
        <w:t xml:space="preserve">(3) </w:t>
      </w:r>
      <w:r>
        <w:t xml:space="preserve">El koyma riskinde: Cihazın hafızasında yalnızca meşru amatör frekansların bulunması 'iyi niyet' karinesi oluşturur. </w:t>
      </w:r>
      <w:r w:rsidRPr="006054A1">
        <w:rPr>
          <w:b/>
        </w:rPr>
        <w:t>(4)</w:t>
      </w:r>
      <w:r>
        <w:t xml:space="preserve"> dernek ve kulüpler ve amatör kulüplerinden talep: Hafıza programlama disiplini konusunda üye kitlesini bilgilendirici kılavuz yayımlanması.</w:t>
      </w:r>
    </w:p>
    <w:p w:rsidR="00D23DE4" w:rsidRDefault="00D23DE4"/>
    <w:p w:rsidR="00D23DE4" w:rsidRDefault="00EF56A4">
      <w:r w:rsidRPr="006054A1">
        <w:rPr>
          <w:b/>
        </w:rPr>
        <w:t>Kaynak:</w:t>
      </w:r>
      <w:r>
        <w:t xml:space="preserve"> TCK Md.132-133: mevzuat.gov.tr; CMK Md.134: mevzuat.gov.tr; 2813 Kanunu Md.36. Karşılaştırma: DE TKG §89 — pasıf dinleme serbest, kayıt yasak; GB Wireless Telegraphy Act 2006 Sec.48: RX serbest, askerî frekans dinleme için ek kısıtlama yok ancak kayıt askerî şifreli iletişimin kaydı ise suç oluşturabilir.</w:t>
      </w:r>
    </w:p>
    <w:p w:rsidR="00D23DE4" w:rsidRDefault="00D23DE4"/>
    <w:p w:rsidR="00760C22" w:rsidRDefault="00760C22">
      <w:pPr>
        <w:rPr>
          <w:b/>
          <w:bCs/>
          <w:color w:val="404040"/>
          <w:sz w:val="22"/>
          <w:szCs w:val="22"/>
        </w:rPr>
      </w:pPr>
      <w:r>
        <w:br w:type="page"/>
      </w:r>
    </w:p>
    <w:p w:rsidR="00D23DE4" w:rsidRDefault="00EF56A4">
      <w:pPr>
        <w:pStyle w:val="Heading30"/>
      </w:pPr>
      <w:r>
        <w:t>GA-NODE — Remote Telsiz Nodu ve Internet Yayını — RTUK/BTK Çatışması</w:t>
      </w:r>
    </w:p>
    <w:p w:rsidR="00D23DE4" w:rsidRDefault="00EF56A4">
      <w:pPr>
        <w:spacing w:before="80" w:after="120"/>
      </w:pPr>
      <w:r>
        <w:rPr>
          <w:b/>
          <w:bCs/>
        </w:rPr>
        <w:t>Sorun / Belirsizlik:</w:t>
      </w:r>
    </w:p>
    <w:p w:rsidR="00D23DE4" w:rsidRDefault="00EF56A4" w:rsidP="00760C22">
      <w:pPr>
        <w:spacing w:before="80" w:after="120"/>
      </w:pPr>
      <w:r>
        <w:t>EchoLink, AllStar, D-STAR reflector, WebSDR ve KiwiSDR gibi sistemlerde RF'ten alınan sinyal internete yönlendirilmektedir. 6112 Sayılı Kanun'daki 'yayını' tanımı bu trafiği kapsayabilir; RTUK lisansı olmadan internet yayını yapmanın hukuki riski belirsizdir. Yurt dışındaki KiwiSDR sunucuları TR frekanslarını zaten yayımlamaktadir; TR'deki amatör bunu yapınca hukuki risk doğar.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6112 Sayılı Kanun Md.2: 'Kamuya açık eş zamanlı içerik iletimi' yayındır; RTÜK lisansı gerekebilir. Buna karşılık BTK FTM Teknik Ölçütler (BTK Kurul Kararı 23.09.2022, 2022/İK-SYD/245) Md.22 §12, amatör telsizcilerin “deneysel ya da internet-telsiz arayüzü kullanan diğer amatör telsizcilik faaliyetlerinde” bulunabileceğini açıkça düzenler; bu durumlarda Kurum tarafından yapılan frekans planlamasına uyulur. Dolayısıyla telsiz mevzuatı bakımından internet-RF köprüsü izinlidir; belirsizlik, aynı trafiğin 6112 sayılı Kanun bakımından “yayın” sayılıp sayılmayacağı ve BTK ile RTÜK yorumlarının ayrışmasıdır.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R1: EchoLink ve AllStar gibi RF-bağlantılı internet sistemleri amatör servis kapsamında değerlendirilir; RF bağının varlığı esastır. Kaynak: iaru-r1.org/about-us/committees-and-working-groups/emcomm/</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DE/GB/US: EchoLink düğümleri bireysel amatör lisansıyla serbest; RTUK muadili kuruluşlar bu trafiği 'yayını' saymamaktadır. WebSDR servisleri birçok Avrupa ülkesinde yönetilmeden çalışmaktadir.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 + RTUK'ten Ortak Talep: RF-bağlantılı internet köprü sistemlerinin (EchoLink, AllStar, KiwiSDR) 6112 kapsamında 'yayını' sayılmadığının ortak görüş yazısıyla teyit edilmesi.</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Strateji Notu</w:t>
            </w:r>
          </w:p>
        </w:tc>
        <w:tc>
          <w:tcPr>
            <w:tcW w:w="7626" w:type="dxa"/>
            <w:tcBorders>
              <w:top w:val="single" w:sz="1" w:space="0" w:color="2E75B6"/>
              <w:left w:val="single" w:sz="1" w:space="0" w:color="2E75B6"/>
              <w:bottom w:val="single" w:sz="1" w:space="0" w:color="2E75B6"/>
              <w:right w:val="single" w:sz="1" w:space="0" w:color="2E75B6"/>
            </w:tcBorders>
            <w:shd w:val="clear" w:color="auto" w:fill="FFF2CC"/>
            <w:tcMar>
              <w:top w:w="80" w:type="dxa"/>
              <w:left w:w="160" w:type="dxa"/>
              <w:bottom w:w="80" w:type="dxa"/>
              <w:right w:w="120" w:type="dxa"/>
            </w:tcMar>
          </w:tcPr>
          <w:p w:rsidR="00D23DE4" w:rsidRDefault="00EF56A4">
            <w:r>
              <w:rPr>
                <w:i/>
                <w:iCs/>
                <w:sz w:val="18"/>
                <w:szCs w:val="18"/>
              </w:rPr>
              <w:t>Dikkat: EchoLink fiilen tolere edilmektedir. Tutarsızlık olarak değil 'mevcut iyi uygulamanın yasal çerçeveye kavuşturulması' olarak sunulmalıdır.</w:t>
            </w:r>
          </w:p>
        </w:tc>
      </w:tr>
    </w:tbl>
    <w:p w:rsidR="00D23DE4" w:rsidRDefault="00EF56A4">
      <w:pPr>
        <w:spacing w:before="40" w:after="80"/>
      </w:pPr>
      <w:r>
        <w:rPr>
          <w:b/>
          <w:bCs/>
          <w:color w:val="555555"/>
          <w:sz w:val="17"/>
          <w:szCs w:val="17"/>
        </w:rPr>
        <w:t xml:space="preserve">Kaynak: </w:t>
      </w:r>
      <w:r>
        <w:rPr>
          <w:color w:val="2E75B6"/>
          <w:sz w:val="17"/>
          <w:szCs w:val="17"/>
        </w:rPr>
        <w:t>IARU EMCOMM: iaru-r1.org/on-the-air/emergency-communications/</w:t>
      </w:r>
    </w:p>
    <w:p w:rsidR="00D23DE4" w:rsidRDefault="00D23DE4">
      <w:pPr>
        <w:spacing w:before="120"/>
      </w:pPr>
    </w:p>
    <w:p w:rsidR="00D23DE4" w:rsidRDefault="00EF56A4">
      <w:pPr>
        <w:pStyle w:val="Heading30"/>
      </w:pPr>
      <w:r>
        <w:t>GA-CROSS — Bireysel Cross-Band ve Geçici Role İşletimi (APRS dahil)</w:t>
      </w:r>
    </w:p>
    <w:p w:rsidR="00D23DE4" w:rsidRDefault="00EF56A4">
      <w:pPr>
        <w:spacing w:before="80" w:after="120"/>
      </w:pPr>
      <w:r>
        <w:rPr>
          <w:b/>
          <w:bCs/>
        </w:rPr>
        <w:t>Sorun / Belirsizlik:</w:t>
      </w:r>
    </w:p>
    <w:p w:rsidR="00D23DE4" w:rsidRDefault="00EF56A4" w:rsidP="00760C22">
      <w:pPr>
        <w:spacing w:before="80" w:after="120"/>
      </w:pPr>
      <w:r>
        <w:t>TR mevzuatında tekrarlayıcı (role) işletimi dernek tüzel kişiliğiyle sınırlandırılmıştır. Bireysel cross-band tekrarlama (amatör sinyalin alınıp farklı bantta yeniden iletilmesi) tanımlı değildir; teknik olarak izinsiz role işlevi gördüğünden her iki taraf da ihlal riski altındadır. APRS digipeater cihazları de facto olarak kullanılmaktadır (aprs.fi haritasında Türkiye'de yüzlerce aktif istasyon); bunlar da aynı hukuki belirsizlik içindedir.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KEGM Sınav Yönetmeliği Md.4/1e: 'Amatör telsiz dernekleri... ya da amatör telsizcilik belgesine sahip gerçek kişiler' ifadesi role için dernek şartını benimsemiştir. Cross-band veya geçici tekrarlama tanımlı değil. ITU-RR: 'Karışma yaratmama' ve 'kendi adına haberleşme' şartları.</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R1 VHF Handbook v10: Tekrarlayıcı koordinasyonu önerilir; bireysel lisansla işletim mümkün kabul edilir. FCC Part 97.205 (US): Cross-band tekrarlama için özel bir yasak yok; 'rebroadcast' yasağı ticari yayına uygulanır. Kaynak: iaru-r1.org/wp-content/uploads/2026/02/VHF_Handbook_V10_03_final.pdf</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US (FCC 97.205): Bireysel veya kulüp, koordinasyonla role işletebilir. DE: Role koordinasyonu DARC üzerinden; bireysel işletim mümkün. GB: Ofcom NoV ile bireysel role başvurusu mümkün. TR: Yalnızca dernekler.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BTK/KEGM'den Talep: Tekrarlayıcı işletim izninin bireysel A sınıfı belge sahiplerine de tanınması; APRS digipeater'ların koordinasyon bildirimle bireysel kurulumunun serbest bırakılması.</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Strateji Notu</w:t>
            </w:r>
          </w:p>
        </w:tc>
        <w:tc>
          <w:tcPr>
            <w:tcW w:w="7626" w:type="dxa"/>
            <w:tcBorders>
              <w:top w:val="single" w:sz="1" w:space="0" w:color="2E75B6"/>
              <w:left w:val="single" w:sz="1" w:space="0" w:color="2E75B6"/>
              <w:bottom w:val="single" w:sz="1" w:space="0" w:color="2E75B6"/>
              <w:right w:val="single" w:sz="1" w:space="0" w:color="2E75B6"/>
            </w:tcBorders>
            <w:shd w:val="clear" w:color="auto" w:fill="FFF2CC"/>
            <w:tcMar>
              <w:top w:w="80" w:type="dxa"/>
              <w:left w:w="160" w:type="dxa"/>
              <w:bottom w:w="80" w:type="dxa"/>
              <w:right w:w="120" w:type="dxa"/>
            </w:tcMar>
          </w:tcPr>
          <w:p w:rsidR="00D23DE4" w:rsidRDefault="00EF56A4">
            <w:r>
              <w:rPr>
                <w:i/>
                <w:iCs/>
                <w:sz w:val="18"/>
                <w:szCs w:val="18"/>
              </w:rPr>
              <w:t>Dikkat: APRS altyapısı AFAD ve SAR ekipleri tarafından afet takibinde kullanılmaktadır. 'Bunlar yasadışı' argümanı yerine 'bunlar yararlı, yasal çerçeveye alının' argümanı kullanılmalıdır.</w:t>
            </w:r>
          </w:p>
        </w:tc>
      </w:tr>
    </w:tbl>
    <w:p w:rsidR="00D23DE4" w:rsidRDefault="00EF56A4">
      <w:pPr>
        <w:spacing w:before="40" w:after="80"/>
      </w:pPr>
      <w:r>
        <w:rPr>
          <w:b/>
          <w:bCs/>
          <w:color w:val="555555"/>
          <w:sz w:val="17"/>
          <w:szCs w:val="17"/>
        </w:rPr>
        <w:t xml:space="preserve">Kaynak: </w:t>
      </w:r>
      <w:r>
        <w:rPr>
          <w:color w:val="2E75B6"/>
          <w:sz w:val="17"/>
          <w:szCs w:val="17"/>
        </w:rPr>
        <w:t>IARU R1 VHF Handbook v10: iaru-r1.org/wp-content/uploads/2026/02/VHF_Handbook_V10_03_final.pdf</w:t>
      </w:r>
    </w:p>
    <w:p w:rsidR="00D23DE4" w:rsidRDefault="00EF56A4">
      <w:pPr>
        <w:spacing w:before="40" w:after="80"/>
      </w:pPr>
      <w:r>
        <w:rPr>
          <w:b/>
          <w:bCs/>
          <w:color w:val="555555"/>
          <w:sz w:val="17"/>
          <w:szCs w:val="17"/>
        </w:rPr>
        <w:t xml:space="preserve">Kaynak: </w:t>
      </w:r>
      <w:r>
        <w:rPr>
          <w:color w:val="2E75B6"/>
          <w:sz w:val="17"/>
          <w:szCs w:val="17"/>
        </w:rPr>
        <w:t>FCC Part 97.205: ecfr.gov/current/title-47/chapter-I/subchapter-D/part-97/subpart-C/section-97.205</w:t>
      </w:r>
    </w:p>
    <w:p w:rsidR="00D23DE4" w:rsidRDefault="00D23DE4">
      <w:pPr>
        <w:spacing w:before="120"/>
      </w:pPr>
    </w:p>
    <w:p w:rsidR="00D23DE4" w:rsidRDefault="00EF56A4">
      <w:pPr>
        <w:pStyle w:val="Heading30"/>
      </w:pPr>
      <w:r>
        <w:t>GA-POC — POC Cihazları, Amatör Tanımı ve Tüketici Magduriyeti</w:t>
      </w:r>
    </w:p>
    <w:p w:rsidR="00D23DE4" w:rsidRDefault="00EF56A4">
      <w:pPr>
        <w:spacing w:before="80" w:after="120"/>
      </w:pPr>
      <w:r>
        <w:rPr>
          <w:b/>
          <w:bCs/>
        </w:rPr>
        <w:t>Sorun / Belirsizlik:</w:t>
      </w:r>
    </w:p>
    <w:p w:rsidR="00D23DE4" w:rsidRDefault="00EF56A4" w:rsidP="00760C22">
      <w:pPr>
        <w:spacing w:before="80" w:after="120"/>
      </w:pPr>
      <w:r>
        <w:t>Push-to-Talk over Cellular (POC) cihazlar hücresel altyapıda çalışmakta; hiçbir noktada amatör frekans spektrumu kullanılmamaktadır. Bazı satıcılar bu cihazları 'amatör telsiz' ve 'afet haberleşme aracı' olarak pazarlamış, şehir rölelerine yetkisiz bağlantı vaadi vermiştir. amatör telsiz dernek ve kulüpleri'in bildirisiyle POC'un amatörlük kapsamında olmadığı açıklanmistir; ancak bu bildirinin hukuki bağlayıcılığı yoktur. POC ile EchoLink/DMR arasındaki tanım farkı 'RF kullanımı zorunluluğu'dur.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KEGM Sınav Yönetmeliği Md.4/1e: Amatör istasyon tanımı RF sistemleri kapsar; hücresel ağ tabanlı sistemler tanımın dışındadir. 5809 EHK: 'Telsiz' tanımı RF gerektirmektedir. 6502 Sayılı TKHK: Yanıltıcı ticari uygulama hükümleri.</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ITU-RR Md.1 §1.56: Amatör servis — 'kişisel amaçla, ticari menfaat olmaksızın, radyo tekniği ile kendi eğitimi, karşılıklı haberleşme ve teknik araştırma.' POC bu tanımı karşılamaz.</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US FCC Part 97.3: Amatör servis RF spektrumu kullanımını zorunlu kılar; POC muadili sistemler kapsam dışında. DE/GB/FR: Benzer tanım; POC amatör lisansına bağlı değil.</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KEGM/BTK + Ticaret Bakanlığı'ndan Talep: 'Amatör telsiz' ibaresinin yalnızca RF tabanlı sistemlere uygulanabileceğinin ticari rehberde açıklanması; yanıltıcı pazarlamaya yönelik şikayet mekanizması.</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Strateji Notu</w:t>
            </w:r>
          </w:p>
        </w:tc>
        <w:tc>
          <w:tcPr>
            <w:tcW w:w="7626" w:type="dxa"/>
            <w:tcBorders>
              <w:top w:val="single" w:sz="1" w:space="0" w:color="2E75B6"/>
              <w:left w:val="single" w:sz="1" w:space="0" w:color="2E75B6"/>
              <w:bottom w:val="single" w:sz="1" w:space="0" w:color="2E75B6"/>
              <w:right w:val="single" w:sz="1" w:space="0" w:color="2E75B6"/>
            </w:tcBorders>
            <w:shd w:val="clear" w:color="auto" w:fill="FFF2CC"/>
            <w:tcMar>
              <w:top w:w="80" w:type="dxa"/>
              <w:left w:w="160" w:type="dxa"/>
              <w:bottom w:w="80" w:type="dxa"/>
              <w:right w:w="120" w:type="dxa"/>
            </w:tcMar>
          </w:tcPr>
          <w:p w:rsidR="00D23DE4" w:rsidRDefault="00EF56A4">
            <w:r>
              <w:rPr>
                <w:i/>
                <w:iCs/>
                <w:sz w:val="18"/>
                <w:szCs w:val="18"/>
              </w:rPr>
              <w:t>Dikkat: POC ile EchoLink/DMR arasındaki ayrımı 'RF kullanımı' olarak net yazmak zorunludur; aksi halde EchoLink ve DMR de kapsam dışı sayılabilir.</w:t>
            </w:r>
          </w:p>
        </w:tc>
      </w:tr>
    </w:tbl>
    <w:p w:rsidR="00D23DE4" w:rsidRDefault="00EF56A4">
      <w:pPr>
        <w:spacing w:before="40" w:after="80"/>
      </w:pPr>
      <w:r>
        <w:rPr>
          <w:b/>
          <w:bCs/>
          <w:color w:val="555555"/>
          <w:sz w:val="17"/>
          <w:szCs w:val="17"/>
        </w:rPr>
        <w:t xml:space="preserve">Kaynak: </w:t>
      </w:r>
      <w:r>
        <w:rPr>
          <w:color w:val="2E75B6"/>
          <w:sz w:val="17"/>
          <w:szCs w:val="17"/>
        </w:rPr>
        <w:t>ITU-RR Md.1 §1.56: itu.int/pub/R-REG-RR</w:t>
      </w:r>
    </w:p>
    <w:p w:rsidR="00D23DE4" w:rsidRDefault="00D23DE4">
      <w:pPr>
        <w:spacing w:before="120"/>
      </w:pPr>
    </w:p>
    <w:p w:rsidR="00D23DE4" w:rsidRDefault="00EF56A4">
      <w:pPr>
        <w:pStyle w:val="Heading30"/>
      </w:pPr>
      <w:r>
        <w:t>GA-DIG — Dijital Modlar ve Kodlama — Şifreleme Algısı</w:t>
      </w:r>
    </w:p>
    <w:p w:rsidR="00D23DE4" w:rsidRDefault="00EF56A4">
      <w:pPr>
        <w:spacing w:before="80" w:after="120"/>
      </w:pPr>
      <w:r>
        <w:rPr>
          <w:b/>
          <w:bCs/>
        </w:rPr>
        <w:t>Sorun / Belirsizlik:</w:t>
      </w:r>
    </w:p>
    <w:p w:rsidR="00D23DE4" w:rsidRDefault="00EF56A4" w:rsidP="00760C22">
      <w:pPr>
        <w:spacing w:before="80" w:after="120"/>
      </w:pPr>
      <w:r>
        <w:t>FT8 (LDPC kodlama + Costas dizisi), WSPR, JS8Call ve Winlink (Open B2F protokolü) gibi modlar teknik olarak kodlama içermekte; ancak bu protokoller kamuya açık ve belgeli olduğu için ITU-RR Md.25 §25.2A'daki 'anlam gizleme amacı' testini karşılamamaktadır. BTK TAD 2021 ve FTM Tablo 25-1 bu modları listede içermediğinden kullanım belirsizdir.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BTK FTM Teknik Ölçütler Tablo 25-1: Emisyon tipi listesi; FT8, WSPR, Winlink vb. yok. TAD 2021: Geleneksel emisyon tipleri (A1A, J3E, F3E). Ancak BTK FTM Teknik Ölçütler (BTK Kurul Kararı 23.09.2022, 2022/İK-SYD/245) Md.22 §13 amatör haberleşme yöntemleri arasında Q kodları, mors, RTTY, SSTV, FSTV, PSK, PACTOR, AMPR, APRS ve TCP/IP'yi ismen sayar ve yalnızca üçüncü şahısların dinlemesini engelleyecek biçimde “kriptolu” iletişimi yasaklar; bu, ITU-RR Md.25 §25.2A'daki “anlam gizleme amacı” testiyle aynı doğrultudadır. Boşluk, ilkenin yokluğu değil, emisyon tipi tablolarının güncellenmemiş olmasıdır.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ITU-RR Md.25 §25.2A (WRC-03): 'Farkı ülkelerden amatör istasyonlar arası iletimler anlam gizleme amacıyla kodlanamaz.' FT8: Açık standart, Princeton Univ. K1JT tarafından yayımlandi (arXiv). Winlink Open B2F: Kamuya açık protokol (winlink.org, Temmuz 2024). Kaynak: oz5bir.dk/wp-content/uploads/2018/10/ITU-Artikel-25.pdf</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US (FCC DA 13-1918): 'Anlam gizleme amacı' testi; FT8 bu testi karşılar, şifreleme yasağı kapsamında değildir. DE/GB: FT8 ve Winlink yayın kullanımında; soruşturma yok. TR: Hiçbir durum; ne açıkça serbest ne yasak.</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BTK'dan Talep: TAD 2021 güncellenmesiyle FT8, FT4, JS8Call, WSPR, Winlink/VARA, APRS'in emisyon tipi olarak listelenmesi; ITU-RR Md.25 §25.2A 'anlam gizleme amacı' testinin ulusal düzenlemede açıklanması.</w:t>
            </w:r>
          </w:p>
        </w:tc>
      </w:tr>
    </w:tbl>
    <w:p w:rsidR="00D23DE4" w:rsidRDefault="00EF56A4">
      <w:pPr>
        <w:spacing w:before="40" w:after="80"/>
      </w:pPr>
      <w:r>
        <w:rPr>
          <w:b/>
          <w:bCs/>
          <w:color w:val="555555"/>
          <w:sz w:val="17"/>
          <w:szCs w:val="17"/>
        </w:rPr>
        <w:t xml:space="preserve">Kaynak: </w:t>
      </w:r>
      <w:r>
        <w:rPr>
          <w:color w:val="2E75B6"/>
          <w:sz w:val="17"/>
          <w:szCs w:val="17"/>
        </w:rPr>
        <w:t>ITU-RR Md.25: oz5bir.dk/wp-content/uploads/2018/10/ITU-Artikel-25.pdf</w:t>
      </w:r>
    </w:p>
    <w:p w:rsidR="00D23DE4" w:rsidRDefault="00EF56A4">
      <w:pPr>
        <w:spacing w:before="40" w:after="80"/>
      </w:pPr>
      <w:r>
        <w:rPr>
          <w:b/>
          <w:bCs/>
          <w:color w:val="555555"/>
          <w:sz w:val="17"/>
          <w:szCs w:val="17"/>
        </w:rPr>
        <w:t xml:space="preserve">Kaynak: </w:t>
      </w:r>
      <w:r>
        <w:rPr>
          <w:color w:val="2E75B6"/>
          <w:sz w:val="17"/>
          <w:szCs w:val="17"/>
        </w:rPr>
        <w:t>Winlink Open B2F: winlink.org/FCC_Action</w:t>
      </w:r>
    </w:p>
    <w:p w:rsidR="00D23DE4" w:rsidRDefault="00EF56A4">
      <w:pPr>
        <w:spacing w:before="40" w:after="80"/>
      </w:pPr>
      <w:r>
        <w:rPr>
          <w:b/>
          <w:bCs/>
          <w:color w:val="555555"/>
          <w:sz w:val="17"/>
          <w:szCs w:val="17"/>
        </w:rPr>
        <w:t xml:space="preserve">Kaynak: </w:t>
      </w:r>
      <w:r>
        <w:rPr>
          <w:color w:val="2E75B6"/>
          <w:sz w:val="17"/>
          <w:szCs w:val="17"/>
        </w:rPr>
        <w:t>FT8 protokol: princeton.edu / K1JT WSJT-X</w:t>
      </w:r>
    </w:p>
    <w:p w:rsidR="00D23DE4" w:rsidRDefault="00D23DE4">
      <w:pPr>
        <w:spacing w:before="120"/>
      </w:pPr>
    </w:p>
    <w:p w:rsidR="00D23DE4" w:rsidRDefault="00EF56A4">
      <w:pPr>
        <w:pStyle w:val="Heading30"/>
      </w:pPr>
      <w:r>
        <w:t>GA-ENFORC — Yaptırım Asimetrisi, Topluluk Dinamikleri ve Role Erişim Yönetimi</w:t>
      </w:r>
    </w:p>
    <w:p w:rsidR="00D23DE4" w:rsidRDefault="00EF56A4">
      <w:pPr>
        <w:spacing w:before="80" w:after="120"/>
      </w:pPr>
      <w:r>
        <w:rPr>
          <w:b/>
          <w:bCs/>
        </w:rPr>
        <w:t>Sorun / Belirsizlik:</w:t>
      </w:r>
    </w:p>
    <w:p w:rsidR="00D23DE4" w:rsidRDefault="00EF56A4">
      <w:pPr>
        <w:spacing w:before="80" w:after="120"/>
      </w:pPr>
      <w:r>
        <w:t>BTK/KEGM'nin etkin müdahale mekanizması yalnızca lisanslı ve kimlik doğrulanabilen operatörlere karşı işlemektedir. Lisanssız veya anonim girişim yapanlar (role 'mandalcılığı', bilerek girişim) teknik tespit yetersizliği nedeniyle fiilen karşılıksız kalmaktadır. Bu asimetri topluluk dinamiğini olumsuz etkilemekte; yeni lisans sahipleri sürekli denetlenirken izinsiz girişimciler denetimsiz kalmaktadır.</w:t>
      </w:r>
    </w:p>
    <w:p w:rsidR="00D23DE4" w:rsidRDefault="00D23DE4">
      <w:pPr>
        <w:spacing w:before="6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5809 EHK Md.63: Yaptırım listesi lisanslı işletmelere uygulanabilir. BTK: Girişim kaynağı tespiti teknik kapasiteye bağlıdır; anonim girişimcilere karşı etkin yasal araç sınırlıdır. Md.51: BTK'nin teknik tespit ve izleme yetkileri var, ancak kaynak tespiti kapasitesi tanımlı değil.</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ITU-RR Md.15: İdareler zararlı girişimleri önlemekle yükümlüdür. IARU: 'Frekans polisliği' (frequency poliçing) amatör topluluklarında uygun görülmez; denetim yetkisi yalnızca yetkili idarelere aittir. Bir amatör operatörün diğer operatörü denetleme hukuki yetkisi yoktur.</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US (FCC Part 97.101(d)): Girişim sorunları FCC'ye raporlanır; bireysel 'frekans polisliğine' FCC tarafından izin verilmemektedir. DE (DARC): Role erişim politikaları kulüp tüzüğünde şeffaf biçimde belirlenir; CTCSS/DCS ile teknik erişim yönetimi norm. GB: Ofcom'un girişim soruşturma yetkileri açık.</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BTK'dan Talep: (1) BTK'nin zararlı girişim tespit ve kaynak belirleme kapasitesinin arttırılması; (2) Role erişim politikalarının (CTCSS/DCS, erişim kuralları) role sahibi dernek tüzüğünde şeffaf belirlenmesine yönelik rehber; (3) Amatör toplulukları için girişim şikayet mekanizması.</w:t>
            </w:r>
          </w:p>
        </w:tc>
      </w:tr>
    </w:tbl>
    <w:p w:rsidR="00D23DE4" w:rsidRDefault="00D23DE4">
      <w:pPr>
        <w:spacing w:before="4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Strateji Notu</w:t>
            </w:r>
          </w:p>
        </w:tc>
        <w:tc>
          <w:tcPr>
            <w:tcW w:w="7626" w:type="dxa"/>
            <w:tcBorders>
              <w:top w:val="single" w:sz="1" w:space="0" w:color="2E75B6"/>
              <w:left w:val="single" w:sz="1" w:space="0" w:color="2E75B6"/>
              <w:bottom w:val="single" w:sz="1" w:space="0" w:color="2E75B6"/>
              <w:right w:val="single" w:sz="1" w:space="0" w:color="2E75B6"/>
            </w:tcBorders>
            <w:shd w:val="clear" w:color="auto" w:fill="FFF2CC"/>
            <w:tcMar>
              <w:top w:w="80" w:type="dxa"/>
              <w:left w:w="160" w:type="dxa"/>
              <w:bottom w:w="80" w:type="dxa"/>
              <w:right w:w="120" w:type="dxa"/>
            </w:tcMar>
          </w:tcPr>
          <w:p w:rsidR="00D23DE4" w:rsidRDefault="00EF56A4">
            <w:r>
              <w:rPr>
                <w:i/>
                <w:iCs/>
                <w:sz w:val="18"/>
                <w:szCs w:val="18"/>
              </w:rPr>
              <w:t>Dikkat: 'Frekans polisliğinin' yasal dayanağı olmadığını belgelemek hem yeni amatörleri koruyan hem de bu davranışa karşı argüman oluşturan pozitif bir çerçevedir. Kişiye yönelik olarak değil, kurumsal düzenleme eksikliği olarak sunulmalıdır.</w:t>
            </w:r>
          </w:p>
        </w:tc>
      </w:tr>
    </w:tbl>
    <w:p w:rsidR="00D23DE4" w:rsidRDefault="00EF56A4">
      <w:pPr>
        <w:spacing w:before="40" w:after="80"/>
      </w:pPr>
      <w:r>
        <w:rPr>
          <w:b/>
          <w:bCs/>
          <w:color w:val="555555"/>
          <w:sz w:val="17"/>
          <w:szCs w:val="17"/>
        </w:rPr>
        <w:t xml:space="preserve">Kaynak: </w:t>
      </w:r>
      <w:r>
        <w:rPr>
          <w:color w:val="2E75B6"/>
          <w:sz w:val="17"/>
          <w:szCs w:val="17"/>
        </w:rPr>
        <w:t>ITU-RR Md.15: itu.int/pub/R-REG-RR</w:t>
      </w:r>
    </w:p>
    <w:p w:rsidR="00D23DE4" w:rsidRDefault="00EF56A4">
      <w:pPr>
        <w:spacing w:before="40" w:after="80"/>
      </w:pPr>
      <w:r>
        <w:rPr>
          <w:b/>
          <w:bCs/>
          <w:color w:val="555555"/>
          <w:sz w:val="17"/>
          <w:szCs w:val="17"/>
        </w:rPr>
        <w:t xml:space="preserve">Kaynak: </w:t>
      </w:r>
      <w:r>
        <w:rPr>
          <w:color w:val="2E75B6"/>
          <w:sz w:val="17"/>
          <w:szCs w:val="17"/>
        </w:rPr>
        <w:t>FCC Part 97.101(d): ecfr.gov/current/title-47/chapter-I/subchapter-D/part-97/subpart-B/section-97.101</w:t>
      </w:r>
    </w:p>
    <w:p w:rsidR="00D23DE4" w:rsidRDefault="00D23DE4">
      <w:pPr>
        <w:spacing w:before="120"/>
      </w:pPr>
    </w:p>
    <w:p w:rsidR="00D23DE4" w:rsidRDefault="00D23DE4">
      <w:pPr>
        <w:spacing w:before="200"/>
      </w:pPr>
    </w:p>
    <w:p w:rsidR="00D23DE4" w:rsidRDefault="00EF56A4" w:rsidP="00824275">
      <w:pPr>
        <w:pStyle w:val="Heading30"/>
      </w:pPr>
      <w:r>
        <w:br w:type="page"/>
      </w:r>
      <w:r w:rsidRPr="00824275">
        <w:rPr>
          <w:sz w:val="24"/>
        </w:rPr>
        <w:t>GA-BAND: Belge Sınıfı Yetki Tablosu ve Eksik / TAD-Dışı Bantla</w:t>
      </w:r>
      <w:r w:rsidR="00F15ED0" w:rsidRPr="00824275">
        <w:rPr>
          <w:sz w:val="24"/>
        </w:rPr>
        <w:t>r</w:t>
      </w:r>
    </w:p>
    <w:p w:rsidR="00D23DE4" w:rsidRDefault="00EF56A4" w:rsidP="003A7C8F">
      <w:pPr>
        <w:pStyle w:val="Heading30"/>
      </w:pPr>
      <w:r w:rsidRPr="003A7C8F">
        <w:t>GA-BAND-1 — A/B/C Sınıfı Yetki Tablosunun Belirsizliği</w:t>
      </w:r>
    </w:p>
    <w:p w:rsidR="003A7C8F" w:rsidRPr="003A7C8F" w:rsidRDefault="003A7C8F" w:rsidP="003A7C8F">
      <w:pPr>
        <w:spacing w:before="80" w:after="120"/>
        <w:rPr>
          <w:b/>
          <w:bCs/>
        </w:rPr>
      </w:pPr>
      <w:r w:rsidRPr="003A7C8F">
        <w:rPr>
          <w:b/>
          <w:bCs/>
        </w:rPr>
        <w:t>Sorun:</w:t>
      </w:r>
    </w:p>
    <w:p w:rsidR="00D23DE4" w:rsidRDefault="00EF56A4">
      <w:pPr>
        <w:spacing w:before="60" w:after="100"/>
      </w:pPr>
      <w:r>
        <w:t>KEGM Sınav Yönetmeliği (RG 27482) A, B ve C sınıflarını tanımlar; sınıf bazlı yetkili frekans bantları, azami güç değerleri ve emisyon tipleri ise BTK FTM Teknik Ölçütler (BTK Kurul Kararı 23.09.2022, 2022/İK-SYD/245) Madde 22 ve Tablo 25'inde “İzin verilen belge sınıfı” sütunuyla birlikte yayımlanmıştır. Sorun tablonun yokluğu değil, atıf zincirinin kırık ve kaynağın dağınık oluşudur: (i) KEGM Sınav Yönetmeliği Md.18, yetki içeriği için 27/11/2018 tarihinde mülga edilen Özel Telsiz Sistemleri Yönetmeliği EK-4 Tablo-1'e atıf yapmayı sürdürmektedir — atıf zinciri kırıktır; (ii) yürürlükteki tablo Resmî Gazete'de değil, Kurum internet sitesinde yayımlanan bir Kurul Kararı ekindedir; (iii) aynı bilgi TAD 2021 ile FTM Teknik Ölçütler arasında bölünmüştür. Önemli tespitler: (a) 50-52 MHz yalnızca A ve B sınıfı için açıktır — C sınıfı kendi istasyonunda 50 MHz'i bağımsız kullanamaz. (b) B sınıfı amatör belgesine sahip telsizciler “eğitim ve özendirme” amacı ile kendi imalı (homebrew) cihaz ile 7000-7100 kHz ve 28000-29700 kHz bantlarında 5W ile faaliyet gösterebilir (FTM Teknik Ölçütler Tablo 25). (c) C sınıfı 144 ve 430 MHz bantlarında, el telsizinde en fazla 5W FM ile sınırlıdır. (d) FTM Teknik Ölçütler Md.22 §10: B ve C sınıfı; dernek, eğitim kurumu, afet kuruluşu, izcilik ve araştırma kurumu istasyonlarında veya bir A sınıfı istasyonda sorumlu operatörün gözetiminde tüm amatör bantları ve emisyon tiplerini kullanabilir — bu hüküm 2022'den beri yürürlüktedir.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BTK FTM Teknik Ölçütler (BTK Kurul Kararı 23.09.2022, 2022/İK-SYD/245) Madde 22 ve Tablo 25: Sınıf bazlı yetki satırları. 50-52 MHz: 'A ve B' (C sınıfı dahil değil). 144-146 MHz ve 430-440 MHz: 'A, B ve C' (C sınıfı el telsizinde en fazla 5W FM). 1240 MHz ve mikrodalga: 'A ve B'. HF bantları: genel olarak A sınıfı; istisnalar — 7000-7100 kHz ve 28000-29700 kHz: B sınıfı, kendi imalı cihaz, en fazla 5W, eğitim ve özendirme amacı. Md.22 §10: B ve C sınıfı, sorumlu operatör gözetiminde tüm amatör bantları ve emisyon tiplerini kullanabilir (2022'den beri yürürlükte). BTK TAD 2021 TAD08-01-04: 50-52 MHz, A ve B Sınıfı, 75W p.e.p. KEGM Sınav Yönetmeliği Md.18: yetki içerik atfı, FTM Yönetmeliği (RG 30608) Md.9 ile 27/11/2018'de mülga edilen Özel Telsiz Sistemleri Yönetmeliği EK-4 Tablo-1'e yapılmaya devam etmektedir — atıf zinciri kırıktır ve güncellenmesi gerekir.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CEPT T/R 61-01 (Şubat 2024 rev.): Tier 1 (HF dahil tam yetki) / Tier 2 (VHF/UHF sınırlı) ayrımı resmi tablo; TR T/R 61-01'e taraftır; ancak iç mevzuatta Tier 1/Tier 2 ayrımına karşılık gelen sınıf-yetki tablosu kamuya açık biçimde yayımlanmamıştır. ECC Recommendation (05)06: Novice/Standart iki katmanlı lisans çerçevesi. IARU R1 Bandplan: Sınıf bazlı sub-band önerileri (örneğin CW/SSB alt bantları).</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 (AFuV §2): Sınıf bazlı yetki tablosu tek belgede. GB (Ofcom NoV): Foundation/Intermediate/Full yetkiler PDF tabloda kamuya açık. US (FCC Part 97.301): Technician/General/Extra bant-sınıf tablosu.</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KEGM + BTK'dan Talep: (1) KEGM Sınav Yönetmeliği Md.18'deki mülga Özel Telsiz Sistemleri Yönetmeliği EK-4 Tablo-1 atfının, yürürlükteki FTM Teknik Ölçütler Madde 22 / Tablo 25 ile değiştirilmesi. (2) Sınıf yetki tablosunun, Kurum internet sitesinde yayımlanan Kurul Kararı ekiyle sınırlı kalmayıp amatör telsizciliğe özgü bir düzenlemede konsolide edilmesi ve Resmî Gazete düzeyinde erişilebilir kılınması. (3) FTM Teknik Ölçütler Tablo 25'teki B sınıfı 40m/10m homebrew provizyonu ile Md.22 §10 gözetimli erişim hakkının KEGM ve amatör telsiz dernek ve kulüpleri tarafından duyurulması; bu haklar yürürlükte olmasına rağmen camiada yeterince bilinmemektedir. (4) Sınıf yetki tablosunun CEPT T/R 61-01 Tier yapısıyla uyumlu hale getirilmesi.</w:t>
            </w:r>
          </w:p>
        </w:tc>
      </w:tr>
    </w:tbl>
    <w:p w:rsidR="007B3791" w:rsidRDefault="00201410">
      <w:r>
        <w:rPr>
          <w:b/>
        </w:rPr>
        <w:t xml:space="preserve">Kaynak: </w:t>
      </w:r>
      <w:r>
        <w:t>docdb.cept.org, iaru-r1.org.</w:t>
      </w:r>
    </w:p>
    <w:p w:rsidR="003A7C8F" w:rsidRDefault="003A7C8F" w:rsidP="003A7C8F">
      <w:pPr>
        <w:pStyle w:val="Heading30"/>
      </w:pPr>
    </w:p>
    <w:p w:rsidR="00D23DE4" w:rsidRDefault="00EF56A4" w:rsidP="003A7C8F">
      <w:pPr>
        <w:pStyle w:val="Heading30"/>
      </w:pPr>
      <w:r w:rsidRPr="003A7C8F">
        <w:t>GA-BAND-2 — 4m Bandı (70.0-70.5 MHz): TR'de Tahsissiz</w:t>
      </w:r>
    </w:p>
    <w:p w:rsidR="003A7C8F" w:rsidRPr="003A7C8F" w:rsidRDefault="00EF56A4" w:rsidP="003A7C8F">
      <w:pPr>
        <w:spacing w:before="80" w:after="120"/>
        <w:rPr>
          <w:b/>
          <w:bCs/>
        </w:rPr>
      </w:pPr>
      <w:r w:rsidRPr="003A7C8F">
        <w:rPr>
          <w:b/>
          <w:bCs/>
        </w:rPr>
        <w:t xml:space="preserve">Sorun: </w:t>
      </w:r>
    </w:p>
    <w:p w:rsidR="00D23DE4" w:rsidRDefault="00EF56A4" w:rsidP="003A7C8F">
      <w:pPr>
        <w:pStyle w:val="Heading30"/>
      </w:pPr>
      <w:r>
        <w:rPr>
          <w:b w:val="0"/>
          <w:color w:val="2E75B6"/>
          <w:sz w:val="18"/>
        </w:rPr>
        <w:t>70-70.5 MHz bandı CEPT üyelerinin bir kısmında (GB, IE, NL, SK, DK vb.) amatör ikincil tahsislidir. BTK Milli Frekans Planı bu aralıkta amatör tahsis içermemektedir. ITU Region 1 Frekans Tablosunda ülke bazlı esneklik tanınan bir bölgededir.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BTK MFP: 70-70.5 MHz amatör tahsis yok. TAD 2021: 50-52 MHz var, 70 MHz yok.</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ECA Tablosu (ERC Report 25) dipnotu EU9: CEPT idareleri 69,9-70,5 MHz bandını amatör servise ikincil olarak açabilir (bazı üyeler uyguladı). IARU R1: 70.000-70.500 MHz koordinasyonu aktif.</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GB: 70.0-70.5 MHz Full/Intermediate lisansla serbest. IE, NL, SK, DK: ikincil tahsis aktif. GR (TR komşu): henüz yok. DE, FR: tahsis yok — CEPT üyelerinin tamamında değil, ülke bazlı esneklik var.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BTK'dan Talep: 70.0-70.5 MHz bandının BTK MFP'ye ikincil amatör tahsis olarak eklenmesi ve TAD'in güncellenmesi. ECA (ERC Report 25) dipnotu EU9 ve IARU R1 bant koordinasyonu referans alınabilir.</w:t>
            </w:r>
          </w:p>
        </w:tc>
      </w:tr>
    </w:tbl>
    <w:p w:rsidR="007B3791" w:rsidRDefault="00201410">
      <w:r>
        <w:rPr>
          <w:b/>
        </w:rPr>
        <w:t xml:space="preserve">Kaynak: </w:t>
      </w:r>
      <w:r>
        <w:t>iaru-r1.org/on-the-air/70mhz/</w:t>
      </w:r>
    </w:p>
    <w:p w:rsidR="003A7C8F" w:rsidRDefault="003A7C8F" w:rsidP="003A7C8F">
      <w:pPr>
        <w:pStyle w:val="Heading30"/>
      </w:pPr>
    </w:p>
    <w:p w:rsidR="00D23DE4" w:rsidRDefault="00EF56A4" w:rsidP="003A7C8F">
      <w:pPr>
        <w:pStyle w:val="Heading30"/>
      </w:pPr>
      <w:r w:rsidRPr="003A7C8F">
        <w:t>GA-BAND-3 — Mikrodalga Bantları (2.4 / 3.4 / 5.7 / 10 / 24 GHz): MFP Var, TAD Yok</w:t>
      </w:r>
    </w:p>
    <w:p w:rsidR="003A7C8F" w:rsidRPr="003A7C8F" w:rsidRDefault="003A7C8F" w:rsidP="003A7C8F">
      <w:pPr>
        <w:spacing w:before="80" w:after="120"/>
        <w:rPr>
          <w:b/>
          <w:bCs/>
        </w:rPr>
      </w:pPr>
      <w:r w:rsidRPr="003A7C8F">
        <w:rPr>
          <w:b/>
          <w:bCs/>
        </w:rPr>
        <w:t>Sorun:</w:t>
      </w:r>
    </w:p>
    <w:p w:rsidR="00D23DE4" w:rsidRDefault="00EF56A4">
      <w:pPr>
        <w:spacing w:before="60" w:after="100"/>
      </w:pPr>
      <w:r>
        <w:rPr>
          <w:b/>
          <w:color w:val="2E75B6"/>
          <w:sz w:val="18"/>
        </w:rPr>
        <w:t>BTK MFP bazı mikrodalga frekanslarını ikincil amatör tahsisli olarak içerir (2400-2450 MHz, 3400-3410 MHz, 5830-5850 MHz, 10.0-10.5 GHz, 24.0-24.05 GHz vb.). Ancak BTK TAD 2021'de bu bantlar için emisyon tipi, maksimum güç ve anten kazanci gibi teknik şartlar tanımlanmamıştır. TAD eksikliği FTM muafiyet zincirinin bu bantları kapsayıp kapsamadığını belirsizleştirir.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BTK TAD 2021 TAD08-01-06: 1240-1300 MHz ve daha yüksek bantlar için sınırlı kapsam; 2.4 GHz ve üzeri için teknik şart belgesi yok. FTM Yönetmeliği Tablo 25: mikrodalga cihaz kriterleri eksik.</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R1 VHF/UHF/SHF Bandplan: 2320-2450 MHz, 3400-3410 MHz, 5.7 GHz, 10 GHz ve üzeri bantlar için segment ve emisyon önerileri. WRC-19/23: ilgili mikrodalga amatör statüleri korunmuştur.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DE/GB/US: 2.4 GHz, 3.4 GHz, 10 GHz, 24 GHz amatör lisans kapsamında; ulusal TAD muadili belgelerde teknik şartlar tanımlı. 2.4 GHz en yaygın kullanılan amatör mikrodalga bandıdır (ATV, spread spectrum).</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BTK'dan Talep: MFP'de ikincil amatör tahsisli mikrodalga bantları için TAD 2021'e ek teknik şart belgesi hazırlanması; FTM Tablo 25'in güncellenmesi. 2.4 GHz için Wi-Fi paydaşlarıyla koordinasyon çerçevesi ayrıca belirlenmeli.</w:t>
            </w:r>
          </w:p>
        </w:tc>
      </w:tr>
    </w:tbl>
    <w:p w:rsidR="007B3791" w:rsidRDefault="00201410">
      <w:r>
        <w:rPr>
          <w:b/>
        </w:rPr>
        <w:t xml:space="preserve">Kaynak: </w:t>
      </w:r>
      <w:r>
        <w:t>iaru-r1.org (VHF/UHF/SHF Bandplan bölümü)</w:t>
      </w:r>
    </w:p>
    <w:p w:rsidR="00F15ED0" w:rsidRDefault="00F15ED0" w:rsidP="003A7C8F">
      <w:pPr>
        <w:pStyle w:val="Heading30"/>
      </w:pPr>
    </w:p>
    <w:p w:rsidR="00D23DE4" w:rsidRDefault="00EF56A4" w:rsidP="003A7C8F">
      <w:pPr>
        <w:pStyle w:val="Heading30"/>
      </w:pPr>
      <w:r>
        <w:t>GA-ARAC — Araçta Amatör Telsiz Kullanımı</w:t>
      </w:r>
    </w:p>
    <w:p w:rsidR="003A7C8F" w:rsidRPr="003A7C8F" w:rsidRDefault="003A7C8F" w:rsidP="003A7C8F">
      <w:pPr>
        <w:spacing w:before="80" w:after="120"/>
        <w:rPr>
          <w:b/>
          <w:bCs/>
        </w:rPr>
      </w:pPr>
      <w:r w:rsidRPr="003A7C8F">
        <w:rPr>
          <w:b/>
          <w:bCs/>
        </w:rPr>
        <w:t>Sorun:</w:t>
      </w:r>
    </w:p>
    <w:p w:rsidR="00D23DE4" w:rsidRDefault="00EF56A4">
      <w:r>
        <w:t>Amatör telsizciler sabit montaj (kırbaç anten) veya el telsizi ile araçlarında amatör telsiz kullanmak istemektedir. Üç ayrı hukuki mesele mevcuttur: (a) Araca anten montajı (kablo delinmesi, montaj, ruhsata işlenme) KTK Md.29 kapsamında araç değişikliği olarak değerlendirilip değerlendirilmeyecegi; (b) Araç kullanırken el telsizi tutmanın trafik mevzuatı açısından durumu; (c) Kurumsal/şirket araçları için is veren izninin gerekip gerektirmediği.</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BTK FTM Teknik Ölçütler Tablo 25: 'Amatör telsiz istasyonu' tanımı açıkça 'sabit, araç ve el telsiz cihazları' ni kapsar; araça montajlı amatör telsiz FTM muafiyeti kapsamındadır, ayrıca kürülüm izni gerekmez. 2918 Sayılı KTK Md.29: Araçta fabrika dışında değişiklik yapılması muayene ve kayda bağlı olabilir; kırbaç anten montajı saç delme/kablo geçirme içeriyorsa bu kapsamda değerlendirilme riski vardır (bununla birlikte muayene uygulamasında rutin olarak takip edilen bir husus değildir). 2918 KTK Md.73/c (ve ilgili içerik): Araç kullanırken el telefonu tutmak yasak; el telsizi aynı kural kapsamında değerlendirilirse (ses iletişimi yapılan el cihazı) sürüş sırasında tutulması idari para cezasina yol açabilir — eller serbest kit (Bluetooth/hoparlör PTT) veya sabit montaj bu riski giderir. Kurumsal araçlar: İş veren yönetmeliğine, iş yerinin iç düzenlemesine ve araç şoför sözleşmesine bağlı.</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R1 operasyonel rehberinde mobil/araç istasyonu kurulumuna ilişkin tavsiyeler mevcuttur. CEPT T/R 61-01: Ziyaretçi amatör lisansı (azami 3 ay geçici kullanım); T/R 61-02: HAREC (uzun süreli ikamet için sınav eşdeğerliği); araç tescili ile lisans taşıyan arasında eşleşmesi gereken bir düzenleme yoktur. Pratik uluslararası standart: araç anteni için mag-mount veya NMO flanşı yaygındir; kalıcı montaj tercih edilir.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 (AFuV): Sabit araç telsizi montajı için araç muayenesinde sınıflandırılmış değişiklik sayılmaz; araç ruhsatina işlenme zorunlu değil. GB (Ofcom): 'Mobile amateur station' lisans şartnamesi kapsamında; sürüş sırasında hands-free yasal zorunluluk. US (FCC Part 97): Mobil istasyon tanımlı, anten montajı araç muayenesine tabi değil. Genel kural: trafik kuralları hands-free yükümlülükleri her ülkede amatörleri de kapsar.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Pratik Çözüm</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(1) Anten montajı için mag-mount veya NMO flanşı tercih edilmeli; saç delme zorunlu ise yetkili araçciya yaptırmak ve araç bakım kaydına işletmek iyi uygulama. (2) Sürüş sırasında el telsizini elle tutmaktan kaçının; PTT pedal veya Bluetooth PTT kullanın. (3) BTK'dan Talep: Mobil amatör istasyon tanımı ve anten montajı konusunda net bir duyuru/kılavuz yayımlanması. Referans: 2918 KTK Md.29, Md.73/c; BTK FTM Teknik Ölçütler Tablo 25 (araçları içerir).</w:t>
            </w:r>
          </w:p>
        </w:tc>
      </w:tr>
    </w:tbl>
    <w:p w:rsidR="003A7C8F" w:rsidRDefault="003A7C8F" w:rsidP="003A7C8F">
      <w:pPr>
        <w:pStyle w:val="Heading30"/>
      </w:pPr>
    </w:p>
    <w:p w:rsidR="003A7C8F" w:rsidRDefault="003A7C8F" w:rsidP="003A7C8F">
      <w:pPr>
        <w:pStyle w:val="Heading30"/>
      </w:pPr>
    </w:p>
    <w:p w:rsidR="00D23DE4" w:rsidRDefault="00EF56A4" w:rsidP="003A7C8F">
      <w:pPr>
        <w:pStyle w:val="Heading30"/>
      </w:pPr>
      <w:r>
        <w:t>GA-POTA — Park ve Koru Aktivasyonunda Arazi Kullanım İzinleri</w:t>
      </w:r>
    </w:p>
    <w:p w:rsidR="003A7C8F" w:rsidRPr="003A7C8F" w:rsidRDefault="00EF56A4" w:rsidP="003A7C8F">
      <w:pPr>
        <w:spacing w:before="80" w:after="120"/>
        <w:rPr>
          <w:b/>
          <w:bCs/>
        </w:rPr>
      </w:pPr>
      <w:r w:rsidRPr="003A7C8F">
        <w:rPr>
          <w:b/>
          <w:bCs/>
        </w:rPr>
        <w:t>Sorun:</w:t>
      </w:r>
    </w:p>
    <w:p w:rsidR="00D23DE4" w:rsidRDefault="00EF56A4">
      <w:r>
        <w:t>POTA (Parks on the Air) aktivasyonları amatör telsiz programı olarak giderek yaygınlaşmaktadır. FTM muafiyeti yalnızca frekans spektrumu kullanımını kapsar; araziye erişim, konaklama ve anten kurulumu için arazi sahibi kurumun izni ayrı bir hukuki meseledir. Hangi parkta, kime, ne için başvurulacağı netlik kazanmamıştır.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2873 Sayılı Milli Parklar Kanunu: Milli park sınırları içinde ticari veya organizasyonel faaliyet Çevre, Şehircilik ve İklim Değişikliği Bakanlığı (CSIB) veya ilgili milli park müdürlüğü izni gerektirir; bireysel piknik nitelikli kısa süreli aktivasyon pratikte izin gerektirmez; yüksek anten (&gt; 3-5 m) veya tekrar ziyaret için yazılı bildirim/izin almak sağlıklı uygulama. 6831 Sayılı Orman Kanunu: Devlet orman arazilerinde faaliyet Orman Genel Müdürlüğü (OGM) / Orman Bölge Müdürlüğü onayına tâbidir; bireysel rekreasyon (yurüyüş, piknik) serbest bırakılmış alanlarda serbest; anten dikme veya ateş yakma yasak. 5216 / 5393 Sayılı Belediye Kanunları: Belediye parkları ve yeşil alanlar belediye park ve bahçeler müdürlüğünun yetki alanındadır; kısa süreli bireysel kullanım genellikle serbest; organizasyonel etkinlik veya sabit anten için izin gerekir. 3621 Sayılı Kıyı Kanunu: Kıyı şeridinde (ilk 10 m) her türlü yapılanma yasak; anten direğinin geçici de olsa kurulumu sorunludur. Tarihi koruma alanları: Kültürel Miras ve Müzeler Genel Müdürlüğü izni şart.</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ETG (Emergency Telecommunications Guide): Sahada kurulum rehberi; bireysel aktivasyon izin gereksinimlerini ulusal mevzuata bırakmıştır. POTA.app: Uluslararası park aktivasyon programı, Türkiye'deki milli parkları ve orman alanlarını sisteme dahil etmiştir. IARU R1 Bölge 1 Türkiye üyesi (dernek ve kulüpler) bu konuda resmi rehber yayımlamamistir.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GB: National Trust ve Natural England arazilerinde POTA aktivasyonu için önceden bildirim veya ücretsiz izin prosedürü uygulanmaktadır. US: National Park Service (NPS) 'special use permit' gerektirmekte; ancak kısa süreli, düşük etkili amatör operasyonlar çoğu zaman muaf tutulmaktadır. DE: Bundeswaldgesetz kapsamında ormanda yürüyüş serbest, anten kurulum prosedürü eyalete göre değişir. TR komşuları (GR, BG): Milli park sınırları içinde RF emisyonu için ayrı bir kural yok; genel doğal alan kullanım kuralları geçerli.</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Pratik Çözüm</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(1) Bireysel, anten yüksekliği &lt; 3 m, 1 gün süreli POTA aktivasyonu için belediye parkları ve ormanlarda genellikle ek izin gerekmiyor (piknik muamelesi); ancak park görevlisi veya muhtarlığa önceden baskılı bilgi kartını göstermek iyidir. (2) Milli park sınırları içinde milli park müdürlüğüyle email/telefon ile önceden bilgi alınması önerilir. (3) BTK ve amatör telsiz dernek ve kulüpleri'dan Talep: POTA aktivasyonu için birleşik izin kılavuzu (hangi kurum tablosu) hazırlanması; yurt içi POTA referans listesi oluşturulması. Referans: 2873 Milli Parklar Kanunu; 6831 Orman Kanunu Md.17; 5393 Belediye Kanunu Md.14/15; 3621 Kıyı Kanunu; BTK FTM Teknik Ölçütler (spektrum kullanımı FTM muaf).</w:t>
            </w:r>
          </w:p>
        </w:tc>
      </w:tr>
    </w:tbl>
    <w:p w:rsidR="00D23DE4" w:rsidRDefault="00EF56A4" w:rsidP="003A7C8F">
      <w:pPr>
        <w:pStyle w:val="Heading30"/>
      </w:pPr>
      <w:r>
        <w:t>GA-AREDN -- AREDN Amatör Mesh Ağının Hukuki Statüsü</w:t>
      </w:r>
    </w:p>
    <w:p w:rsidR="003A7C8F" w:rsidRPr="003A7C8F" w:rsidRDefault="003A7C8F" w:rsidP="003A7C8F">
      <w:pPr>
        <w:spacing w:before="80" w:after="120"/>
        <w:rPr>
          <w:b/>
          <w:bCs/>
        </w:rPr>
      </w:pPr>
      <w:r w:rsidRPr="003A7C8F">
        <w:rPr>
          <w:b/>
          <w:bCs/>
        </w:rPr>
        <w:t>Sorun:</w:t>
      </w:r>
    </w:p>
    <w:p w:rsidR="00D23DE4" w:rsidRDefault="00EF56A4">
      <w:r>
        <w:t>AREDN (Amateur Radio Emergency Data Network), Ubiquiti ve benzeri WiFi donanımı için özel firmware kullanarak 2.4 GHz, 3.4 GHz ve 5.8 GHz amatör bantlarında 802.11n/ac protokolünde mesh ağ kurulmaktadır. TR'de bu frekansların bir kısmı BTK MFP'de ikincil amatör tahsislidir; ancak FTM Teknik Ölçütler Tablo 25, bu bantlar için teknik parametreleri eksik bırakmış, TAD 2021 ise yalnızca sınırlı kapsam içermektedir. Ek belirsizlik: AREDN donanımları, hem amatör lisans gerektiren bantlarda hem de FTM-muaf 2.4 GHz ISM frekanslarında (2400-2483.5 MHz) çalışabilmektedir.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BTK MFP: 2400-2450 MHz ikincil amatör tahsisli; 5830-5850 MHz ikincil amatör tahsisli. FTM Teknik Ölçütler Tablo 25: 5650-5670 MHz ve 5820-5850 MHz 'A ve B Sınıfı' olarak listeli; 2.4 GHz ve 3.4 GHz için spesifik amatör parametre yok. TAD 2021 TAD08-01-06: 1240-1300 MHz ve daha yükseğin A/B sınıfında kullanılabileceğini belirtir; mikrodalga bantları için TAD eksik. Çakışma: 2400-2483.5 MHz hem FTM-muaf (WiFi SRD, Tablo sıra 56+) hem amatör tahsisli -- hangi rejimin geçerli olduğu belirsiz; amatör lisanslı operasyon çalışan BTK kayıt/izni gerektiriyor mu? AREDN donanıminin 'kendi imalı cihaz' sayılıp sayılmayacağı da ayrı bir soru.</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R1 VHF/UHF/SHF Bandplan: 2320-2450 MHz, 3400-3410 MHz, 5760-5790 MHz amatör bandplan segmentleri tanımlı. AREDN uluslararası topluluk projesi: aredn.org; US ARRL onaylı. CEPT ECC: Mikrodalgada amatör ikincil tahsis uygulamaları ülke bazlı. WRC-19: 2.4 GHz'i değiştirmedi.</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US: AREDN FCC Part 97 kapsamında yasal; 2.4/5.8 GHz amatör bantlarda aktif ağ. DE: BNetzA'ya göre 2.4 GHz amatör kullanım yasaldır, maksimum güç sınırlarına uyulması şart. GB: Ofcom NoV (Notice of Variation) ile Full lisans sahiplerine 2.4 GHz amatör kullanım açık.</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 + KEGM'den Talep: (1) 2.4 GHz ve 5.8 GHz amatör kullanımında teknik parametrelerin (max ERP, emisyon tipi, bant segmenti) TAD 2021'e eklenmesi. (2) AREDN ve benzeri mesh protokollerinin FTM-muaf WiFi donanımıyla amatör bantlarda kullanılıp kullanılmayacağının netleştirilmesi. (3) 'Kendi imali cihaz' tanımı: firmware değiştirilen ticari donanım bu kapsamda değerlendirilmeli. Referans: BTK FTM Tablo 25; BTK MFP; TAD 2021 TAD08-01-06; IARU R1 VHF/UHF/SHF Bandplan.</w:t>
            </w:r>
          </w:p>
        </w:tc>
      </w:tr>
    </w:tbl>
    <w:p w:rsidR="00D23DE4" w:rsidRDefault="00EF56A4" w:rsidP="003A7C8F">
      <w:pPr>
        <w:pStyle w:val="Heading30"/>
      </w:pPr>
      <w:r>
        <w:t>GA-LORA -- LoRa, Meshtastic ve LoRa-APRS: SRD-Amatör Lisansı Sınır Bölge</w:t>
      </w:r>
    </w:p>
    <w:p w:rsidR="003A7C8F" w:rsidRPr="003A7C8F" w:rsidRDefault="00EF56A4" w:rsidP="003A7C8F">
      <w:pPr>
        <w:spacing w:before="80" w:after="120"/>
        <w:rPr>
          <w:b/>
          <w:bCs/>
        </w:rPr>
      </w:pPr>
      <w:r w:rsidRPr="003A7C8F">
        <w:rPr>
          <w:b/>
          <w:bCs/>
        </w:rPr>
        <w:t>Sorun:</w:t>
      </w:r>
    </w:p>
    <w:p w:rsidR="00D23DE4" w:rsidRDefault="00EF56A4">
      <w:r>
        <w:t>LoRa (Long Range) RF modülasyon teknolojisi ve bu teknolojiyi kullanan Meshtastic mesh paging sistemi ile LoRa-APRS, birçok frekans bandında çalışabilmektedir. Türkiye'de hangi frekansin lisanssız (FTM-muaf SRD), hangisinin amatör lisansı gerektirdiği, 915 MHz'in yasal olmadığı ve amatör çağrı işareti ile yapılan iletişimin SRD cihaz rejiminden çıkıp amatör rejime girip girmeyeceği konularında belirsizlik vardır.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 -- Frekans Bazlı Analiz</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(a) 433.05-434.79 MHz: BTK FTM 2022 Taslak Tablo, Sıra 15a: 10 mW e.r.p., görev çevrimi &lt;%10, analog ses/video uygulamaları hariç -- LoRa/Meshtastic EU 433 MHz preset bu kapsamda FTM-muaf, lisanssız kullanılabilir. ANCAK: 430-440 MHz amatör bandındadır; amatör amacıyla (çağrı işareti ile) kullanılırsa FTM-muaf SRD rejimi yerine amatör lisansı rejimi geçerlidir ve güç 75W'a kadar çıkar. (b) 868 MHz (863-870 MHz): BTK FTM Tablo, Sıra 18a-d / 19-22: 25 mW e.r.p., duty cycle/LBT kuralları -- LoRa/Meshtastic EU 868 MHz preset bu kapsamda FTM-muaf, lisanssız yasal. Türkiye için BIRINCIL LoRa frekans seçimidir. 869.4-869.65 MHz: 500 mW e.r.p.'a kadar izin. (c) 915 MHz: Türkiye'de FTM tablosunda yer almaz. 900-960 MHz bandı GSM-900/LTE Band 8 hücresel spektrumdur. 915 MHz Meshtastic firmware preset ile cihaz kullanmak bu bantta YASA DIŞIDIR; hücresel altyapıya girişim riski vardır ve BTK tarafından işlem yapılabilir. İthal edilen birçok LoRa/Meshtastic cihaz 915 MHz için üretilmiştir -- Türkiye'de kullanilmadan önce firmware ile 868 MHz'e alınmalıdır.</w:t>
            </w:r>
            <w:r>
              <w:rPr>
                <w:i/>
                <w:iCs/>
                <w:sz w:val="18"/>
                <w:szCs w:val="18"/>
              </w:rPr>
              <w:br/>
              <w:t>LoRa-APRS Frekansları: (1) 144.800 MHz: Avrupa standart APRS frekans -- amatör bandı, amatör lisansı gerektirir; LoRa modunda kullanım teknik olarak mümkündür ancak 144 MHz'de LoRa emisyonu bandplan ile uyumlu olup olmadığı IARU R1'de tartışılıyor. (2) 433.775 MHz: LoRa-APRS için Avrupa amatör toplulukça yaygın kullanılan frekans (OE5BPA projesi gibi). 433 MHz SRD sınırlarında (10 mW, %10 DC): lisanssız FTM-muaf olarak çalışabilir. Ancak APRS iletişimlerinde çağrı işareti gönderimi amatör operasyon sayılır, bu durumda lisans gerekir. Gri alan: sadece konum (no callsign) = SRD; callsign ile = amatör. (3) 868 MHz LoRa-APRS: SRD bandında, lisanssız I-gate (RX-only) kurulumu mümkündür; TX (beacon gönderimi callsign ile) amatör lisansı gerektirir.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R1: LoRa-APRS için resmi bandplan kararı yok; 433.775 MHz topluluk uygulaması. APRS Foundation: 144.800 MHz standart; LoRa-APRS paralel gelişim. ERC/ECC: 863-870 MHz SRD harmonizasyonu TS EN 300 220 standardı -- Türkiye dahil.</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DE/AT/NL: Meshtastic 868 MHz FTM-muaf, yaygın kullanım, dernek rehberleri mevcut. GB: LoRa 868 MHz lisanssız; 433 MHz LoRa SRD kapsamında. US: 915 MHz ISM bandında, lisanssız yasal -- Türkiye ile UYUMSUZ. AU/NZ: 915 MHz; Asya'da bazı ülkeler 923 MHz -- ülke spesifik.</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Pratik Çözüm</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(1) Meshtastic kullanıcıları: Firmware'i mutlaka EU 868 MHz preset'e alın; 915 MHz Türkiye'de yasadışı. 433 MHz EU preset: lisanssız SRD olarak kullanılabilir, amatör callsign eklenmemeli ya da amatör lisansı ile kullanılmalı. (2) LoRa-APRS: 433.775 MHz veya 868 MHz I-gate (RX-only): lisanssız; TX beacon (callsign ile) için amatör lisansı gerekir. (3) AREDN: 2.4/5.8 GHz amatör bantlarda -- amatör lisansı zorunlu, çağrı işareti yayını sart. (4) BTK'dan Talep: 433 MHz SRD ve amatör bant çaprazlaşması için net sınır belirlenmesi; 915 MHz kullanan ithal cihazlar hakkında tüketici uyarısı; LoRa-APRS TX durumunun amatör mi SRD mi sayılacağının açıklanması. Referans: BTK FTM 2022 Taslak Tablo Sıra 15a (433 MHz), 18a-d/19 (868 MHz); BTK MFP 900-960 MHz tahsis (hücresel); IARU R1 Bandplan; TS EN 300 220.</w:t>
            </w:r>
          </w:p>
        </w:tc>
      </w:tr>
    </w:tbl>
    <w:p w:rsidR="003A7C8F" w:rsidRDefault="003A7C8F">
      <w:pPr>
        <w:rPr>
          <w:b/>
        </w:rPr>
      </w:pPr>
    </w:p>
    <w:p w:rsidR="00245ED4" w:rsidRDefault="00310E17" w:rsidP="003A7C8F">
      <w:pPr>
        <w:pStyle w:val="Heading30"/>
      </w:pPr>
      <w:r w:rsidRPr="003A7C8F">
        <w:t xml:space="preserve">GA-SK — Silent Key, Çağrı İşareti Yaşam Döngüsü ve </w:t>
      </w:r>
      <w:r w:rsidR="003A7C8F">
        <w:t>Vesayet</w:t>
      </w:r>
    </w:p>
    <w:p w:rsidR="003A7C8F" w:rsidRPr="003A7C8F" w:rsidRDefault="003A7C8F" w:rsidP="003A7C8F">
      <w:pPr>
        <w:spacing w:before="80" w:after="120"/>
        <w:rPr>
          <w:b/>
          <w:bCs/>
        </w:rPr>
      </w:pPr>
      <w:r w:rsidRPr="003A7C8F">
        <w:rPr>
          <w:b/>
          <w:bCs/>
        </w:rPr>
        <w:t>Sorun:</w:t>
      </w:r>
    </w:p>
    <w:p w:rsidR="00245ED4" w:rsidRDefault="00310E17">
      <w:r w:rsidRPr="003A7C8F">
        <w:t>KEGM Sınav ve Belgelendirme Yönetmeliği Md.7, iki ayrı hüküm içerir: Md.7/1 — belgenin yenilenmemesi, organizasyon feshi, bölge değişikliği, KEGM iptali veya sahibinin vazgeçmesi hâllerinde çağrı işareti 10 yıl yeniden tahsis edilmez (vefat bu fıkrada sayılmaz). Md.7/2 — vefat veya vesayet hâlinde ayrı ve daha esnek bir hüküm işler: belgenin geçerlilik süresi içinde olmak, aynı bölgede ikamet etmek ve eşdeğer belgeye sahip olmak kaydıyla, hak sahipliğini belgeleyen varis/vasiye çağrı işareti tahsis EDİLEBİLİR. Yani vesayet yolu, camiada yaygın 'tanımsız/hukuki dayanaksız' algısının aksine tanımlıdır; ancak dardır: (a) yalnızca orijinal belgenin 10 yıllık süresi içinde işler, süre sonrası akıbet mevzuatta açık değildir; (b) varis/vasinin zaten eşdeğer sınıfta belge sahibi olması gerekir — belgesiz aile üyeleri kapsam dışıdır; (c) aynı bölgede ikamet şartı coğrafi engel olabilir; (d) tahsis KEGM takdirindedir ('edilebilir'), güvenceli değildir.</w:t>
      </w:r>
    </w:p>
    <w:p w:rsidR="003A7C8F" w:rsidRDefault="003A7C8F"/>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KEGM Sınav ve Belgelendirme Yönetmeliği (RG 27482) Md.7/1 (10 yıl bekletme; vefat hariç) ve Md.7/2 (vefat/vesayette şartlı varis/vasi tahsisi).</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Uluslararası 'Silent Key' geleneği yerleşik; bazı idarelerde aileye/kulübe in-memoriam tahsis mümkün. Bağlayıcı IARU politikası yok.</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US (FCC): SK çağrı işareti aileye/kulübe 'vanity' ile tahsis edilebilir. DE/GB: anıt/kulüp tahsisi uygulamaları var.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KEGM'den: (1) Md.7/2'nin belge süresi sonrası akıbetinin netleştirilmesi; (2) 'eşdeğer belge sahibi olma' şartının aile üyeleri için esnetilip esnetilemeyeceğinin değerlendirilmesi; (3) bu mekanizmanın topluluğa rehberle duyurulması; (4) kalıcı 'anıt' statüsü gibi ek seçeneklerin değerlendirilmesi.</w:t>
            </w:r>
          </w:p>
        </w:tc>
      </w:tr>
    </w:tbl>
    <w:p w:rsidR="003A7C8F" w:rsidRDefault="003A7C8F">
      <w:pPr>
        <w:rPr>
          <w:b/>
        </w:rPr>
      </w:pPr>
    </w:p>
    <w:p w:rsidR="00245ED4" w:rsidRDefault="00310E17" w:rsidP="003A7C8F">
      <w:pPr>
        <w:pStyle w:val="Heading30"/>
      </w:pPr>
      <w:r w:rsidRPr="003A7C8F">
        <w:t>GA-CALL — Bölge Değişikliğinde Çağrı İşareti ve Taşınabilirlik</w:t>
      </w:r>
    </w:p>
    <w:p w:rsidR="003A7C8F" w:rsidRDefault="00310E17">
      <w:pPr>
        <w:rPr>
          <w:b/>
        </w:rPr>
      </w:pPr>
      <w:r>
        <w:rPr>
          <w:b/>
        </w:rPr>
        <w:t>Sorun:</w:t>
      </w:r>
    </w:p>
    <w:p w:rsidR="00245ED4" w:rsidRDefault="00310E17">
      <w:r>
        <w:t>İkamet farklı bölgeye taşınınca 3 ay içinde başvuru zorunlu; operatör ya yeni çağrı işareti alır ya da KEGM'e bildirerek mevcut işaretini '/(bölge)' ile korur (ör. TA3A/4). 3 aylık başvuru yükü, '/bölge' korumasının kalıcı ikamette süresiz kabulünün belirsizliği ve afet göçleri kuralı fiilen işlemez kılmaktadır.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KEGM Sınav ve Belgelendirme Yönetmeliği (RG 27482): bölge değişiminde 3 ay içinde başvuru; mevcut çağrı işareti '/(bölge)' eklenerek korunabilir — tam farklı işarete geçiş zorunlu değildir.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Çoğu idarede çağrı işareti ülke genelinde taşınabilir; bölge tabanlı zorunlu güncelleme yaygın değil.</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FFFFFF"/>
            <w:tcMar>
              <w:top w:w="80" w:type="dxa"/>
              <w:left w:w="160" w:type="dxa"/>
              <w:bottom w:w="80" w:type="dxa"/>
              <w:right w:w="120" w:type="dxa"/>
            </w:tcMar>
          </w:tcPr>
          <w:p w:rsidR="00D23DE4" w:rsidRDefault="00EF56A4">
            <w:r>
              <w:rPr>
                <w:i/>
                <w:iCs/>
                <w:sz w:val="18"/>
                <w:szCs w:val="18"/>
              </w:rPr>
              <w:t>US/DE/GB: taşınmada çağrı işareti değişmez, ülke genelinde taşınabilir.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KEGM'den '/bölge' ile kalıcı korumanın süresiz kabulü, 3 ay başvuru yükünün hafifletilmesi, afet göçünde muafiyet ve çağrı işaretinin ülke genelinde taşınabilir kılınması.</w:t>
            </w:r>
          </w:p>
        </w:tc>
      </w:tr>
    </w:tbl>
    <w:p w:rsidR="003A7C8F" w:rsidRDefault="003A7C8F">
      <w:pPr>
        <w:rPr>
          <w:b/>
        </w:rPr>
      </w:pPr>
    </w:p>
    <w:p w:rsidR="00760C22" w:rsidRDefault="00760C22">
      <w:pPr>
        <w:rPr>
          <w:b/>
          <w:bCs/>
          <w:color w:val="404040"/>
          <w:sz w:val="22"/>
          <w:szCs w:val="22"/>
        </w:rPr>
      </w:pPr>
      <w:r>
        <w:br w:type="page"/>
      </w:r>
    </w:p>
    <w:p w:rsidR="00245ED4" w:rsidRDefault="00310E17" w:rsidP="003A7C8F">
      <w:pPr>
        <w:pStyle w:val="Heading30"/>
      </w:pPr>
      <w:r w:rsidRPr="003A7C8F">
        <w:t>GA-CIHAZ — Cihaz Uygunluğu, Piyasa Gözetimi, Satışta Belge Kontrolü ve Devir</w:t>
      </w:r>
    </w:p>
    <w:p w:rsidR="003A7C8F" w:rsidRPr="003A7C8F" w:rsidRDefault="00310E17" w:rsidP="003A7C8F">
      <w:pPr>
        <w:spacing w:before="80" w:after="120"/>
        <w:rPr>
          <w:b/>
          <w:bCs/>
        </w:rPr>
      </w:pPr>
      <w:r w:rsidRPr="003A7C8F">
        <w:rPr>
          <w:b/>
          <w:bCs/>
        </w:rPr>
        <w:t>Sorun:</w:t>
      </w:r>
    </w:p>
    <w:p w:rsidR="00245ED4" w:rsidRDefault="00310E17">
      <w:r>
        <w:t>Amatör bantlarda verici olarak çalışan el telsizleri, e-ticaret platformlarında amatör telsizcilik belgesi sorulmaksızın satılmaktadır. TTTE Yönetmeliği (2014/53/AB RED uyumu) rejiminde piyasaya arz üretici/ithalatçı uygunluk beyanına dayanır; ön tip onayı yoktur ve denetim piyasa gözetimiyle yapılır. Bu rejimde istenmeyen (spurious) emisyon limitlerini karşılamayan düşük maliyetli cihazlar piyasada dolaşmaktadır: ARRL laboratuvar testlerinde bu sınıftaki cihazların yalnızca yaklaşık %5-9'u limitleri karşılamıştır. BTK, Aralık 2019'da aralarında Baofeng UV-5R'ın da bulunduğu cihazları güvensiz ilan ederek satış yasağı ve toplatma kararı vermiştir; buna rağmen benzer cihazların satışı sürmektedir. Ayrıca cihaz devrinde basit bir bildirim usulü bulunmadığından el değiştiren cihazların izlenebilirliği zayıftır; SDR kartlarında (ör. ADALM-Pluto) çift kullanım (dual-use) ve son kullanıcı taahhüdü (EUC) koşulları belirsizdir.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TTTE Yönetmeliği (RED 2014/53/AB uyumu): uygunluk beyanı + CE işareti; BTK piyasa gözetimi ve denetimi (Aralık 2019 güvensiz cihaz kararı); Telsiz Yönetmeliği Md.2/4: muafiyet 'ilgili teknik düzenlemelere uygunluk' şartına bağlı; 5809 EHK Md.37/3: 'Kurumca onaylı cihaz' ifadesi (belirsizliği Envanter'de not edilmiştir).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 / Karşılaştırma</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ETSI EN 300 086 vb. standartlarda istenmeyen emisyon limitleri; US karşılaştırması: FCC Part 97 -40 dBc (Part 90'ın -20 dBc limitinden 100 kat sıkı); FCC 2018 uygulama duyurusu sertifikasız cihaz satışına yöneliktir.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BTK + Ticaret Bakanlığı'ndan Talep: (1) Amatör bantlarda çalışan verici cihazların e-ticaret satışında belge kontrolü; (2) spurious emisyon denetimlerinin sıklaştırılması ve güvensiz ürün listelerinin güncel tutulması; (3) ikinci el cihaz devrinde basit bildirim usulü; (4) SDR kartlarının eğitim/hobi statüsü ile dual-use koşullarının rehberle açıklanması.</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Strateji Notu</w:t>
            </w:r>
          </w:p>
        </w:tc>
        <w:tc>
          <w:tcPr>
            <w:tcW w:w="7626" w:type="dxa"/>
            <w:tcBorders>
              <w:top w:val="single" w:sz="1" w:space="0" w:color="2E75B6"/>
              <w:left w:val="single" w:sz="1" w:space="0" w:color="2E75B6"/>
              <w:bottom w:val="single" w:sz="1" w:space="0" w:color="2E75B6"/>
              <w:right w:val="single" w:sz="1" w:space="0" w:color="2E75B6"/>
            </w:tcBorders>
            <w:shd w:val="clear" w:color="auto" w:fill="FFF2CC"/>
            <w:tcMar>
              <w:top w:w="80" w:type="dxa"/>
              <w:left w:w="160" w:type="dxa"/>
              <w:bottom w:w="80" w:type="dxa"/>
              <w:right w:w="120" w:type="dxa"/>
            </w:tcMar>
          </w:tcPr>
          <w:p w:rsidR="00D23DE4" w:rsidRDefault="00EF56A4">
            <w:r>
              <w:rPr>
                <w:i/>
                <w:iCs/>
                <w:sz w:val="18"/>
                <w:szCs w:val="18"/>
              </w:rPr>
              <w:t>Bu başlık, 'amatörler tehlike üretiyor' söylemini 'denetimsiz piyasa tehlike üretiyor; belgeli amatör çözüm ortağıdır' çerçevesine taşır. Toplu yasak kaygısına karşı ana savunma hattıdır.</w:t>
            </w:r>
          </w:p>
        </w:tc>
      </w:tr>
    </w:tbl>
    <w:p w:rsidR="007B3791" w:rsidRDefault="00201410">
      <w:r>
        <w:rPr>
          <w:b/>
        </w:rPr>
        <w:t xml:space="preserve">Kaynak: </w:t>
      </w:r>
      <w:r>
        <w:t>BTK güvensiz cihaz duyurusu: btk.gov.tr/duyurular/kamuoyuna-duyurulur-guvensiz-oldugu-tespit-edilen-cihazlar; ARRL Lab spurious testleri: kb6nu.com/did-the-fcc-just-make-baofengs-illegal-short-answer-no</w:t>
      </w:r>
    </w:p>
    <w:p w:rsidR="003A7C8F" w:rsidRDefault="003A7C8F">
      <w:pPr>
        <w:rPr>
          <w:b/>
        </w:rPr>
      </w:pPr>
    </w:p>
    <w:p w:rsidR="00245ED4" w:rsidRDefault="00310E17" w:rsidP="003A7C8F">
      <w:pPr>
        <w:pStyle w:val="Heading30"/>
      </w:pPr>
      <w:r w:rsidRPr="003A7C8F">
        <w:t>GA-EMCOMM — Afet Haberleşmesinde Amatörün Rolü: Tanım ve Kapsam Belirsizliği</w:t>
      </w:r>
    </w:p>
    <w:p w:rsidR="003A7C8F" w:rsidRPr="003A7C8F" w:rsidRDefault="00310E17" w:rsidP="003A7C8F">
      <w:pPr>
        <w:spacing w:before="80" w:after="120"/>
        <w:rPr>
          <w:b/>
          <w:bCs/>
        </w:rPr>
      </w:pPr>
      <w:r w:rsidRPr="003A7C8F">
        <w:rPr>
          <w:b/>
          <w:bCs/>
        </w:rPr>
        <w:t>Sorun:</w:t>
      </w:r>
    </w:p>
    <w:p w:rsidR="00245ED4" w:rsidRDefault="00310E17">
      <w:r>
        <w:t>Amatör telsizin afet haberleşmesindeki rolü, yaygın kanaatin aksine tümüyle tanımsız değildir. TAMP'ın (RG 31954, 2022) ana metninde amatör telsiz dernekleri ismen yer almaz; Afet Haberleşme Grubu'nun destek çözüm ortakları arasında yalnızca genel “STK” kategorisi bulunur. Buna karşılık TAMP'ın hazırlanmasını öngördüğü Ulusal Düzey Afet Haberleşme Grubu Planı'na ilişkin resmî yazışmalarda TRAC, 2012, 2015 ve 2024 tarihli belgelerde ismen “çözüm ortağı” olarak anılmıştır. Ayrıca FTM Teknik Ölçütler Md.22 §3 ve §4, amatörlere afette koordinasyon kuruluşlarına yardım etme ve izinle kuruma tahsisli frekansları kullanma dayanağı verir. Gerçek boşluk üç noktadadır: (a) ortaklığın somut içeriği — teknik destek mi, malzeme desteği mi, doğrudan operatörlük mü — kamuya açık değildir; söz konusu plan metni yayımlanmamıştır. (b) Dernek üyesi olmayan bireysel amatörün konumu hiçbir belgede tanımlı değildir. (c) 2000 tarihli protokolün imzacı kurumu (Başbakanlık Türkiye Acil Durum Yönetimi Genel Müdürlüğü) kalkmıştır; AFAD'ın bu protokolü devraldığını teyit eden kamuya açık bir belge bulunamamıştır.</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7626"/>
      </w:tblGrid>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TR Mevzuatı</w:t>
            </w:r>
          </w:p>
        </w:tc>
        <w:tc>
          <w:tcPr>
            <w:tcW w:w="7626" w:type="dxa"/>
            <w:tcBorders>
              <w:top w:val="single" w:sz="1" w:space="0" w:color="2E75B6"/>
              <w:left w:val="single" w:sz="1" w:space="0" w:color="2E75B6"/>
              <w:bottom w:val="single" w:sz="1" w:space="0" w:color="2E75B6"/>
              <w:right w:val="single" w:sz="1" w:space="0" w:color="2E75B6"/>
            </w:tcBorders>
            <w:shd w:val="clear" w:color="auto" w:fill="D6E4F0"/>
            <w:tcMar>
              <w:top w:w="80" w:type="dxa"/>
              <w:left w:w="160" w:type="dxa"/>
              <w:bottom w:w="80" w:type="dxa"/>
              <w:right w:w="120" w:type="dxa"/>
            </w:tcMar>
          </w:tcPr>
          <w:p w:rsidR="00D23DE4" w:rsidRDefault="00EF56A4">
            <w:r>
              <w:rPr>
                <w:i/>
                <w:iCs/>
                <w:sz w:val="18"/>
                <w:szCs w:val="18"/>
              </w:rPr>
              <w:t>KEGM Sınav Yönetmeliği Md.4/1e (RG 27482) afet ve acil durum haberleşmesini amatör istasyonun amaçları arasında sayar. FTM Teknik Ölçütler (BTK Kurul Kararı 23.09.2022, 2022/İK-SYD/245) Md.22 §3-§4: amatörler afette koordinasyon kuruluşlarına yardım edebilir ve ilgili kamu kurumunun izniyle o kuruma tahsisli frekansları kullanabilir. TAMP (RG 31954): Afet Haberleşme Grubu ana çözüm ortağı Ulaştırma ve Altyapı Bakanlığı; destek çözüm ortakları arasında amatör telsiz dernekleri ismen değil, genel “STK” kategorisiyle yer alır. TAMP'ın öngördüğü Ulusal Düzey Afet Haberleşme Grubu Planı yazışmaları (2012 AFAD daveti; 2015 Ulaştırma Denizcilik ve Haberleşme Bakanlığı yazısı; 2024 Ulaştırma ve Altyapı Bakanlığı yazısı): TRAC ismen “çözüm ortağı” olarak anılmaktadır. 7269 sayılı Kanun ve AFAD mevzuatında amatör telsizin rolü tanımlı değildir; planın amatörlere ilişkin bölümü kamuya açık değildir.</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IARU / CEPT ve Diğer Ülkeler</w:t>
            </w:r>
          </w:p>
        </w:tc>
        <w:tc>
          <w:tcPr>
            <w:tcW w:w="7626" w:type="dxa"/>
            <w:tcBorders>
              <w:top w:val="single" w:sz="1" w:space="0" w:color="2E75B6"/>
              <w:left w:val="single" w:sz="1" w:space="0" w:color="2E75B6"/>
              <w:bottom w:val="single" w:sz="1" w:space="0" w:color="2E75B6"/>
              <w:right w:val="single" w:sz="1" w:space="0" w:color="2E75B6"/>
            </w:tcBorders>
            <w:shd w:val="clear" w:color="auto" w:fill="E2EFDA"/>
            <w:tcMar>
              <w:top w:w="80" w:type="dxa"/>
              <w:left w:w="160" w:type="dxa"/>
              <w:bottom w:w="80" w:type="dxa"/>
              <w:right w:w="120" w:type="dxa"/>
            </w:tcMar>
          </w:tcPr>
          <w:p w:rsidR="00D23DE4" w:rsidRDefault="00EF56A4">
            <w:r>
              <w:rPr>
                <w:i/>
                <w:iCs/>
                <w:sz w:val="18"/>
                <w:szCs w:val="18"/>
              </w:rPr>
              <w:t>IARU ETG (Emergency Telecommunications Guide — Türkçe baskısı mevcut): ulusal afet kurumlarıyla MOU çerçevesi önerir. DE: DARC-BBK işbirliği; AT: benzer model; US: ARES/RACES-FEMA ilişkisi.</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Öneri / Talep</w:t>
            </w:r>
          </w:p>
        </w:tc>
        <w:tc>
          <w:tcPr>
            <w:tcW w:w="7626" w:type="dxa"/>
            <w:tcBorders>
              <w:top w:val="single" w:sz="1" w:space="0" w:color="2E75B6"/>
              <w:left w:val="single" w:sz="1" w:space="0" w:color="2E75B6"/>
              <w:bottom w:val="single" w:sz="1" w:space="0" w:color="2E75B6"/>
              <w:right w:val="single" w:sz="1" w:space="0" w:color="2E75B6"/>
            </w:tcBorders>
            <w:shd w:val="clear" w:color="auto" w:fill="FCE4D6"/>
            <w:tcMar>
              <w:top w:w="80" w:type="dxa"/>
              <w:left w:w="160" w:type="dxa"/>
              <w:bottom w:w="80" w:type="dxa"/>
              <w:right w:w="120" w:type="dxa"/>
            </w:tcMar>
          </w:tcPr>
          <w:p w:rsidR="00D23DE4" w:rsidRDefault="00EF56A4">
            <w:r>
              <w:rPr>
                <w:i/>
                <w:iCs/>
                <w:sz w:val="18"/>
                <w:szCs w:val="18"/>
              </w:rPr>
              <w:t>AFAD + Ulaştırma ve Altyapı Bakanlığı + KEGM/BTK'dan Talep: (1) Ulusal Düzey Afet Haberleşme Grubu Planı'nın amatör telsize ilişkin bölümünün ve amatörlere verilen somut görev tanımının kamuya açıklanması. (2) Amatörlerin afetteki yetki ve sorumluluklarının (teknik destek, malzeme desteği, koordinasyon, doğrudan operatörlük) yazılı olarak netleştirilmesi. (3) Dernek üyesi olmayan bireysel amatörlerin sürece nasıl dâhil olacağının tanımlanması. (4) İl AFAD müdürlükleri ile kulüpler arasında eşleşme ve düzenli ortak tatbikat usulünün esasa bağlanması. (5) 2000 tarihli protokolün güncel geçerliliğinin teyidi veya yerine güncel bir protokol yapılması.</w:t>
            </w:r>
          </w:p>
        </w:tc>
      </w:tr>
      <w:tr w:rsidR="00D23DE4">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7"/>
                <w:szCs w:val="17"/>
              </w:rPr>
              <w:t>Strateji Notu</w:t>
            </w:r>
          </w:p>
        </w:tc>
        <w:tc>
          <w:tcPr>
            <w:tcW w:w="7626" w:type="dxa"/>
            <w:tcBorders>
              <w:top w:val="single" w:sz="1" w:space="0" w:color="2E75B6"/>
              <w:left w:val="single" w:sz="1" w:space="0" w:color="2E75B6"/>
              <w:bottom w:val="single" w:sz="1" w:space="0" w:color="2E75B6"/>
              <w:right w:val="single" w:sz="1" w:space="0" w:color="2E75B6"/>
            </w:tcBorders>
            <w:shd w:val="clear" w:color="auto" w:fill="FFF2CC"/>
            <w:tcMar>
              <w:top w:w="80" w:type="dxa"/>
              <w:left w:w="160" w:type="dxa"/>
              <w:bottom w:w="80" w:type="dxa"/>
              <w:right w:w="120" w:type="dxa"/>
            </w:tcMar>
          </w:tcPr>
          <w:p w:rsidR="00D23DE4" w:rsidRDefault="00EF56A4">
            <w:r>
              <w:rPr>
                <w:i/>
                <w:iCs/>
                <w:sz w:val="18"/>
                <w:szCs w:val="18"/>
              </w:rPr>
              <w:t>'Amatörlük yasaklanır' kaygısına karşı en güçlü pozitif dosya: kamu yararının resmîleştirilmesi. Afet rolü bahane değil, protokole bağlanması gereken gerçek bir kapasitedir.</w:t>
            </w:r>
          </w:p>
        </w:tc>
      </w:tr>
    </w:tbl>
    <w:p w:rsidR="007B3791" w:rsidRDefault="00201410">
      <w:r>
        <w:rPr>
          <w:b/>
        </w:rPr>
        <w:t xml:space="preserve">Kaynak: </w:t>
      </w:r>
      <w:r>
        <w:t>IARU ETG: iaru-r1.org/on-the-air/emergency-communications/</w:t>
      </w:r>
    </w:p>
    <w:p w:rsidR="00760C22" w:rsidRDefault="00760C22">
      <w:pPr>
        <w:rPr>
          <w:b/>
          <w:bCs/>
          <w:color w:val="1F4E79"/>
          <w:sz w:val="28"/>
          <w:szCs w:val="28"/>
        </w:rPr>
      </w:pPr>
      <w:r>
        <w:br w:type="page"/>
      </w:r>
    </w:p>
    <w:p w:rsidR="00D23DE4" w:rsidRDefault="00EF56A4">
      <w:pPr>
        <w:pStyle w:val="Heading10"/>
        <w:pBdr>
          <w:bottom w:val="single" w:sz="6" w:space="4" w:color="2E75B6"/>
        </w:pBdr>
      </w:pPr>
      <w:r>
        <w:t>4. Karşılaştırmalı Analiz — TR / IARU / CEPT-AB</w:t>
      </w:r>
    </w:p>
    <w:p w:rsidR="00D23DE4" w:rsidRDefault="00EF56A4">
      <w:pPr>
        <w:spacing w:before="80" w:after="120"/>
      </w:pPr>
      <w:r>
        <w:t>Birincil kaynaklarla desteklenmiş karşılaştırmalı özet. Tüm ülke durumları ilgili ulusal mevzuat veya IARU/CEPT belgelerine dayanmaktadır.</w:t>
      </w:r>
    </w:p>
    <w:p w:rsidR="00D23DE4" w:rsidRDefault="00D23DE4">
      <w:pPr>
        <w:spacing w:before="80"/>
      </w:pP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969"/>
        <w:gridCol w:w="2218"/>
        <w:gridCol w:w="2220"/>
        <w:gridCol w:w="2619"/>
      </w:tblGrid>
      <w:tr w:rsidR="00D23DE4">
        <w:tc>
          <w:tcPr>
            <w:tcW w:w="1800"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Konu</w:t>
            </w:r>
          </w:p>
        </w:tc>
        <w:tc>
          <w:tcPr>
            <w:tcW w:w="2200"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8"/>
                <w:szCs w:val="18"/>
              </w:rPr>
              <w:t>Türkiye (TR)</w:t>
            </w:r>
          </w:p>
        </w:tc>
        <w:tc>
          <w:tcPr>
            <w:tcW w:w="2300"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IARU Bölge 1</w:t>
            </w:r>
          </w:p>
        </w:tc>
        <w:tc>
          <w:tcPr>
            <w:tcW w:w="2726" w:type="dxa"/>
            <w:tcBorders>
              <w:top w:val="single" w:sz="1" w:space="0" w:color="2E75B6"/>
              <w:left w:val="single" w:sz="1" w:space="0" w:color="2E75B6"/>
              <w:bottom w:val="single" w:sz="1" w:space="0" w:color="2E75B6"/>
              <w:right w:val="single" w:sz="1" w:space="0" w:color="2E75B6"/>
            </w:tcBorders>
            <w:shd w:val="clear" w:color="auto" w:fill="2E75B6"/>
            <w:tcMar>
              <w:top w:w="80" w:type="dxa"/>
              <w:left w:w="120" w:type="dxa"/>
              <w:bottom w:w="80" w:type="dxa"/>
              <w:right w:w="120" w:type="dxa"/>
            </w:tcMar>
            <w:vAlign w:val="center"/>
          </w:tcPr>
          <w:p w:rsidR="00D23DE4" w:rsidRDefault="00EF56A4">
            <w:r>
              <w:rPr>
                <w:b/>
                <w:bCs/>
                <w:color w:val="FFFFFF"/>
                <w:sz w:val="18"/>
                <w:szCs w:val="18"/>
              </w:rPr>
              <w:t>CEPT / AB Örneği</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Özel amatör yönetmelik</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Yok — dağınık mevzuat</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Ulusal yönetmelik tavsiye edilir (ilgili CEPT/ECC çerçevesi)</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DE: AFuV; GB: WTA+Ofcom NoV; US: FCC Part 97</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Belge sınıfı / hak tanımı</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A/B/C — tablo var (FTM Teknik Ölçütler Md.22/Tablo 25); ancak KEGM atfı mülga belgeye</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T/R 61-01 Tier 1/2 ayrımı açık tablo</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Tüm CEPT: Sınıf bazı yetki tablosu zorunlu (T/R 61-01)</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HAREC tanınması</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KISMÎ — A sınıfı için uygulanıyor (KEGM "HAREC DOCUMENT"); boşluk B/C sınıfında</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Karşılıklı tanıma (T/R 61-01, Şub.2024)</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46 CEPT üyesinin çoğunluğunda aktif</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Yurt dışı geçici faaliyet</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Standart prosedür yok</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T/R 61-01 seyahat çerçevesi</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90 güne kadar kendi lisansıyla faaliyet (T/R 61-01)</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FT8/Winlink/SDR</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Emisyon tipinde yok; kapsam belirsiz</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R1 Bandplan'da segment tanımlı</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DE/GB/US: Lisans kapsamında; bandplana entegre</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RX özgürlüğü</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Kodifiye edilmemiş; TCK 132/133 riski</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Uluslararası norm: dinleme serbest</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DE: TKG §89; US: ECPA 18 USC §2511</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Bireysel role</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Yalnızca dernek</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Koordinasyonla bireysel işletim mümkün</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US: FCC 97.205; GB: Ofcom NoV bireysel</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EMCOMM protokolü</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Tanım var (KEGM Md.4/1e + FTM Md.22 §3-§4); planda 'çözüm ortağı' anılıyor, görev içeriği açık değil</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IARU ETG + MOU çerçevesi</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DE/AT: DARC ile ulusal afet kurumu MOU</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WRC-23 23cm dipnotu</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MFP'ye henüz yansımadı (yürürlük: 01.01.2025)</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Zorunlu ulusal uygulama</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CEPT üyesi idareler MFP'ye aldı</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Girişim/şikayet mekanizması</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Tanımlı değil</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Ulusal regülatör arabulucu rolünde</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CEPT ECC/DEC/(02)05 standart prosedür</w:t>
            </w:r>
          </w:p>
        </w:tc>
      </w:tr>
      <w:tr w:rsidR="00D23DE4">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rsidR="00D23DE4" w:rsidRDefault="00EF56A4">
            <w:r>
              <w:rPr>
                <w:b/>
                <w:bCs/>
                <w:color w:val="000000"/>
                <w:sz w:val="18"/>
                <w:szCs w:val="18"/>
              </w:rPr>
              <w:t>Role erişim yönetimi</w:t>
            </w:r>
          </w:p>
        </w:tc>
        <w:tc>
          <w:tcPr>
            <w:tcW w:w="23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D23DE4" w:rsidRDefault="00EF56A4">
            <w:r>
              <w:rPr>
                <w:color w:val="000000"/>
                <w:sz w:val="18"/>
                <w:szCs w:val="18"/>
              </w:rPr>
              <w:t>Kulüp kararında; yasal dayanak zayıf</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Koordinasyon org (orn. DARC, RSGB) rehberi</w:t>
            </w:r>
          </w:p>
        </w:tc>
        <w:tc>
          <w:tcPr>
            <w:tcW w:w="242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DE: DARC koordinasyon; GB: RSGB; US: ARRL</w:t>
            </w:r>
          </w:p>
        </w:tc>
      </w:tr>
    </w:tbl>
    <w:p w:rsidR="00D23DE4" w:rsidRDefault="00D23DE4">
      <w:pPr>
        <w:spacing w:before="200"/>
      </w:pPr>
    </w:p>
    <w:p w:rsidR="00760C22" w:rsidRDefault="00760C22">
      <w:pPr>
        <w:rPr>
          <w:b/>
          <w:bCs/>
          <w:color w:val="1F4E79"/>
          <w:sz w:val="28"/>
          <w:szCs w:val="28"/>
        </w:rPr>
      </w:pPr>
      <w:r>
        <w:br w:type="page"/>
      </w:r>
    </w:p>
    <w:p w:rsidR="00D23DE4" w:rsidRDefault="00EF56A4">
      <w:pPr>
        <w:pStyle w:val="Heading10"/>
        <w:pBdr>
          <w:bottom w:val="single" w:sz="6" w:space="4" w:color="2E75B6"/>
        </w:pBdr>
      </w:pPr>
      <w:r>
        <w:t>5. Herkesin Anlayabileceği Özet</w:t>
      </w:r>
    </w:p>
    <w:p w:rsidR="00D23DE4" w:rsidRDefault="00EF56A4">
      <w:pPr>
        <w:pStyle w:val="Heading30"/>
      </w:pPr>
      <w:r>
        <w:t>Amatör telsizci ne yapabilir?</w:t>
      </w:r>
    </w:p>
    <w:p w:rsidR="00D23DE4" w:rsidRDefault="00EF56A4">
      <w:pPr>
        <w:spacing w:before="80" w:after="120"/>
      </w:pPr>
      <w:r>
        <w:t>KEGM belgesine sahip operatör; sabit, araç, el veya arazi istasyonuyla, bandplana uygun frekans ve güç sınırlarında, ayrıca telsiz ruhsatı, frekans tahsisi veya BTK izni almaksızın haberleşme edebilir. Yasal dayanak: 5809 EHK Md.37/3 + Anayasa Md.22.</w:t>
      </w:r>
    </w:p>
    <w:p w:rsidR="00D23DE4" w:rsidRDefault="00EF56A4">
      <w:pPr>
        <w:pStyle w:val="Heading30"/>
      </w:pPr>
      <w:r>
        <w:t>Denetim birimleri cihazınıza el koyarsa?</w:t>
      </w:r>
    </w:p>
    <w:p w:rsidR="00D23DE4" w:rsidRDefault="00EF56A4">
      <w:pPr>
        <w:spacing w:before="80" w:after="120"/>
      </w:pPr>
      <w:r>
        <w:t>5809 EHK Md.37/3 ve Anayasa Md.22 kapsamında haberleşme hürriyetiniz anayasal güvence altındadır. Belgenizi gösterin. Buna rağmen el koyma yoluna gidilirse yazılı tutanak isteyin ve BTK/KEGM'e yazılı başvuru yapın; belgeli amatör istasyonun muafiyeti 5809 Md.37/3'e dayanır.</w:t>
      </w:r>
    </w:p>
    <w:p w:rsidR="00D23DE4" w:rsidRDefault="00EF56A4">
      <w:pPr>
        <w:pStyle w:val="Heading30"/>
      </w:pPr>
      <w:r>
        <w:t>FT8 veya Winlink kullanabilir miyim? (GA-DIG)</w:t>
      </w:r>
    </w:p>
    <w:p w:rsidR="00D23DE4" w:rsidRDefault="00EF56A4">
      <w:pPr>
        <w:spacing w:before="80" w:after="120"/>
      </w:pPr>
      <w:r>
        <w:t>Bu modlar kamuya açık ve belgeli protokollerdir; ITU-RR Md.25’teki ‘anlam gizleme amacı’ testini karşılamazlar. FTM Teknik Ölçütler Md.22 §13 de amatör haberleşme yöntemleri arasında RTTY, SSTV, PSK, PACTOR, AMPR, APRS ve TCP/IP’yi ismen sayar ve yalnızca anlam gizleyen kriptolu iletişimi yasaklar. Bununla birlikte BTK TAD 2021 ve emisyon tipi tabloları FT8/WSPR gibi yeni modları listelemediği için tam netlik yoktur. Kullanım pratikte yaygın; yasal netlik için TAD güncellemesi beklenmektedir.</w:t>
      </w:r>
    </w:p>
    <w:p w:rsidR="00D23DE4" w:rsidRDefault="00EF56A4">
      <w:pPr>
        <w:pStyle w:val="Heading30"/>
      </w:pPr>
      <w:r>
        <w:t>Gri alanda nasıl hareket edilir?</w:t>
      </w:r>
    </w:p>
    <w:p w:rsidR="00D23DE4" w:rsidRDefault="00EF56A4">
      <w:pPr>
        <w:pStyle w:val="ListeParagraf"/>
        <w:numPr>
          <w:ilvl w:val="0"/>
          <w:numId w:val="2"/>
        </w:numPr>
        <w:spacing w:before="40" w:after="60"/>
      </w:pPr>
      <w:r>
        <w:t>KEGM belgesini her zaman taşın.</w:t>
      </w:r>
    </w:p>
    <w:p w:rsidR="00D23DE4" w:rsidRDefault="00EF56A4">
      <w:pPr>
        <w:pStyle w:val="ListeParagraf"/>
        <w:numPr>
          <w:ilvl w:val="0"/>
          <w:numId w:val="2"/>
        </w:numPr>
        <w:spacing w:before="40" w:after="60"/>
      </w:pPr>
      <w:r>
        <w:t>5809 EHK Md.37/3 metnini ve bu belgeyi yanında bulundur.</w:t>
      </w:r>
    </w:p>
    <w:p w:rsidR="00D23DE4" w:rsidRDefault="00EF56A4">
      <w:pPr>
        <w:pStyle w:val="ListeParagraf"/>
        <w:numPr>
          <w:ilvl w:val="0"/>
          <w:numId w:val="2"/>
        </w:numPr>
        <w:spacing w:before="40" w:after="60"/>
      </w:pPr>
      <w:r>
        <w:t>FTM Tablo 25'teki güç ve frekans sınırlarında kal.</w:t>
      </w:r>
    </w:p>
    <w:p w:rsidR="00D23DE4" w:rsidRDefault="00EF56A4">
      <w:pPr>
        <w:pStyle w:val="ListeParagraf"/>
        <w:numPr>
          <w:ilvl w:val="0"/>
          <w:numId w:val="2"/>
        </w:numPr>
        <w:spacing w:before="40" w:after="60"/>
      </w:pPr>
      <w:r>
        <w:t>Uyuşmazlıkta yazılı itiraz yolunu sec; BTK'ya başvur.</w:t>
      </w:r>
    </w:p>
    <w:p w:rsidR="00D23DE4" w:rsidRDefault="00EF56A4">
      <w:pPr>
        <w:pStyle w:val="ListeParagraf"/>
        <w:numPr>
          <w:ilvl w:val="0"/>
          <w:numId w:val="2"/>
        </w:numPr>
        <w:spacing w:before="40" w:after="60"/>
      </w:pPr>
      <w:r>
        <w:t>amatör telsiz dernek ve kulüpleri'a üye ol; kolektif hukuki izleme bireysel girişimden daha etkilidir.</w:t>
      </w:r>
    </w:p>
    <w:p w:rsidR="00D23DE4" w:rsidRDefault="00D23DE4"/>
    <w:p w:rsidR="00D23DE4" w:rsidRDefault="00EF56A4">
      <w:pPr>
        <w:pStyle w:val="Heading30"/>
      </w:pPr>
      <w:r>
        <w:t>Hangi frekanslarda hangi sınıf çalışabilir? (GA-BAND-1)</w:t>
      </w:r>
    </w:p>
    <w:p w:rsidR="00D23DE4" w:rsidRDefault="00EF56A4">
      <w:r>
        <w:t>A sınıfı tüm amatör bantlara tam yetkiyle erişebilir. B sınıfı VHF/UHF bantlarda (144, 430 MHz) çalışabilir; ayrıca kendi imalatı cihazla 40m (7000–7100 kHz) ve 10m (28–29.7 MHz) bantlarında 5W ile HF'e de girebilir. C sınıfı yalnızca 144 ve 430 MHz bantlarında, el telsizinde 5W FM ile çalışabilir. 50 MHz: yalnızca A ve B sınıfı. Kaynak: BTK FTM Teknik Ölçütler Tablo 25.</w:t>
      </w:r>
    </w:p>
    <w:p w:rsidR="00D23DE4" w:rsidRDefault="00D23DE4"/>
    <w:p w:rsidR="00D23DE4" w:rsidRDefault="00EF56A4">
      <w:pPr>
        <w:pStyle w:val="Heading30"/>
      </w:pPr>
      <w:r>
        <w:t>Meshtastic veya LoRa cihazımı kullanabilir miyim? (GA-LORA)</w:t>
      </w:r>
    </w:p>
    <w:p w:rsidR="00D23DE4" w:rsidRDefault="00EF56A4">
      <w:r>
        <w:t>868 MHz preset'li Meshtastic: lisanssız kullanılabilir (FTM-muaf SRD, 25 mW). 433 MHz: FTM-muaf SRD olarak kullanılabilir ancak amatör callsign eklenmemeli. 915 MHz preset: Türkiye'de yasadışı — 915 MHz GSM/LTE hücresel spektrumudur, FTM tablosunda yer almaz; firmware ile 868 MHz'e alın. LoRa-APRS I-gate (yalnız alıcı): lisanssız; TX beacon callsign ile gönderim amatör lisansı gerektirir.</w:t>
      </w:r>
    </w:p>
    <w:p w:rsidR="00D23DE4" w:rsidRDefault="00D23DE4"/>
    <w:p w:rsidR="00D23DE4" w:rsidRDefault="00EF56A4">
      <w:pPr>
        <w:pStyle w:val="Heading30"/>
      </w:pPr>
      <w:r>
        <w:t>AREDN mesh ağı kurabilir miyim? (GA-AREDN)</w:t>
      </w:r>
    </w:p>
    <w:p w:rsidR="00D23DE4" w:rsidRDefault="00EF56A4">
      <w:r>
        <w:t>AREDN, Ubiquiti gibi WiFi donanımı üzerinde 2.4/5.8 GHz amatör bantlarda mesh ağ kurar. Türkiye'de bu bantlar BTK MFP'de ikincil amatör tahsisli; ancak TAD parametresi eksik. Pratik öneri: A veya B sınıfı amatör lisansıyla, amatör çağrı işareti yayınlayarak kullanılabilir; lisanssız WiFi modunda kullanım gri alandadır.</w:t>
      </w:r>
    </w:p>
    <w:p w:rsidR="00D23DE4" w:rsidRDefault="00D23DE4"/>
    <w:p w:rsidR="00D23DE4" w:rsidRDefault="00EF56A4">
      <w:pPr>
        <w:pStyle w:val="Heading30"/>
      </w:pPr>
      <w:r>
        <w:t>Araçta telsiz bulundurabilir miyim? (GA-ARAC)</w:t>
      </w:r>
    </w:p>
    <w:p w:rsidR="00D23DE4" w:rsidRDefault="00EF56A4">
      <w:r>
        <w:t>BTK FTM Tablo 25 amatör telsiz istasyonu tanımı 'sabit, araç ve el telsiz cihazlarını' açıkça kapsar; araç telsizi FTM muafiyeti içindedir, ayrıca kurulum izni gerekmez. Saç delme gerektiren sabit montajlarda araç servisine yaptırın. Sürüş sırasında el telsizini elle tutmaktan kaçının; eller serbest kit veya sabit montaj tercih edin.</w:t>
      </w:r>
    </w:p>
    <w:p w:rsidR="00D23DE4" w:rsidRDefault="00D23DE4"/>
    <w:p w:rsidR="00D23DE4" w:rsidRDefault="00EF56A4">
      <w:pPr>
        <w:pStyle w:val="Heading30"/>
      </w:pPr>
      <w:r>
        <w:t>Parkta (POTA) telsiz kullanabilir miyim? (GA-POTA)</w:t>
      </w:r>
    </w:p>
    <w:p w:rsidR="00D23DE4" w:rsidRDefault="00EF56A4">
      <w:r>
        <w:t>FTM muafiyeti yalnızca frekans spektrumunu kapsar; arazi kullanım izni ayrıdır. Belediye parkları ve ormanlarda kısa süreli bireysel kullanım genellikle ek izin gerektirmez. Milli park sınırlarında milli park müdürlüğüyle önceden iletişime geçin. 915 MHz gibi yasadışı frekans kullanmayın. Anten yüksekliği &lt; 3 m ise çoğu durumda sorun çıkmaz.</w:t>
      </w:r>
    </w:p>
    <w:p w:rsidR="00D23DE4" w:rsidRDefault="00D23DE4"/>
    <w:p w:rsidR="00D23DE4" w:rsidRDefault="00EF56A4">
      <w:pPr>
        <w:pStyle w:val="Heading30"/>
      </w:pPr>
      <w:r>
        <w:t>Kanal listeme askerî frekans kaydedersem sorun olur mu? (GA-RX/Kanal)</w:t>
      </w:r>
    </w:p>
    <w:p w:rsidR="00D23DE4" w:rsidRDefault="00EF56A4" w:rsidP="000A506A">
      <w:r>
        <w:t>Kaydedilen frekans listesi, cihaza el konulduğunda CMK Md.134 kapsamında inceleme kapsamına girer ve savcılık tarafından 'kasıtlı izleme hazırlığı' kanıtı olarak kullanılabilir. Anlık tarama (kaydetmeksizin dinleme) aynı riski taşımaz. Cihaz hafızanızı yalnızca amatör/yayıncilik bantlarıyla sınırlı tutun.</w:t>
      </w:r>
    </w:p>
    <w:p w:rsidR="00245ED4" w:rsidRDefault="00310E17">
      <w:pPr>
        <w:pStyle w:val="Heading30"/>
      </w:pPr>
      <w:r>
        <w:t>Yurt dışında telsiz kullanabilir miyim? (GA-3)</w:t>
      </w:r>
    </w:p>
    <w:p w:rsidR="00245ED4" w:rsidRDefault="00310E17">
      <w:r>
        <w:t>A sınıfı belge sahipleri, KEGM'nin düzenlediği HAREC belgesi sayesinde CEPT T/R 61-01 uygulayan ülkelerde kısa süreli ziyarette (azami 3 ay) ek lisans almadan çalışabilir; ziyaret edilen ülkenin önek kurallarına uyulur (ör. DL/TA3XX). B ve C sınıfının HAREC muadili yoktur; ziyaret edilen ülkeden bireysel izin almak gerekir. Yabancı amatörlerin Türkiye'de geçici çalışma usulü ise mevzuatta açık değildir.</w:t>
      </w:r>
    </w:p>
    <w:p w:rsidR="00245ED4" w:rsidRDefault="00310E17">
      <w:pPr>
        <w:pStyle w:val="Heading30"/>
      </w:pPr>
      <w:r>
        <w:t>Telsizimi yurt dışına götürebilir miyim? (GA-4)</w:t>
      </w:r>
    </w:p>
    <w:p w:rsidR="00245ED4" w:rsidRDefault="00310E17">
      <w:r>
        <w:t>Evet; ancak standart bir prosedür yoktur. Çıkışta Gümrük Yönetmeliği Ek-71 (ticari nitelikte olmayan eşya geçici ihracat beyannamesi) düzenletin; cihazın marka/model/seri numarası belgede yer alsın ve dönüşte aynı belgeyi ibraz edin. Uygulama gümrük idareleri arasında farklılık gösterebilir; ATA Karnesi de bir seçenektir.</w:t>
      </w:r>
    </w:p>
    <w:p w:rsidR="00245ED4" w:rsidRDefault="00310E17">
      <w:pPr>
        <w:pStyle w:val="Heading30"/>
      </w:pPr>
      <w:r>
        <w:t>Apartmanda anten kurabilir miyim? (GA-6)</w:t>
      </w:r>
    </w:p>
    <w:p w:rsidR="00245ED4" w:rsidRDefault="00310E17">
      <w:r>
        <w:t>Çatı gibi ortak alanlara kurulum, 634 sayılı KMK Md.19 uyarınca kat maliklerinin onayına tabidir; amatör antene özgü bir muafiyet yoktur. Kendi bağımsız bölümünüzde (balkon, pencere) kurulum daha az sorunludur. Site/apartman yönetimiyle önceden yazılı mutabakat ve dağınık da olsa emsal kararların derlenmesi en pratik korunma yollarıdır.</w:t>
      </w:r>
    </w:p>
    <w:p w:rsidR="00245ED4" w:rsidRDefault="00310E17">
      <w:pPr>
        <w:pStyle w:val="Heading30"/>
      </w:pPr>
      <w:r>
        <w:t>EchoLink düğümü veya WebSDR çalıştırabilir miyim? (GA-NODE)</w:t>
      </w:r>
    </w:p>
    <w:p w:rsidR="00245ED4" w:rsidRDefault="00310E17">
      <w:r>
        <w:t>FTM Teknik Ölçütler Md.22 §12, amatör telsizcilerin “internet-telsiz arayüzü kullanan” faaliyetlerde bulunabileceğini açıkça düzenler; telsiz mevzuatı bakımından EchoLink/AllStar gibi köprüler izinlidir (Kurum frekans planlamasına uyulur). Belirsizlik 6112 sayılı Kanun’daki ‘yayın’ tanımı ve RTÜK boyutundadır. Kişisel düğüm işletimi pratikte yaygındır; kamuya açık sürekli yayın görünümü vermekten kaçının. Resmî netlik için BTK+RTÜK ortak görüşü talep edilmektedir (Tablo B).</w:t>
      </w:r>
    </w:p>
    <w:p w:rsidR="00245ED4" w:rsidRDefault="00310E17">
      <w:pPr>
        <w:pStyle w:val="Heading30"/>
      </w:pPr>
      <w:r>
        <w:t>APRS digipeater veya röle kurabilir miyim? (GA-CROSS)</w:t>
      </w:r>
    </w:p>
    <w:p w:rsidR="00245ED4" w:rsidRDefault="00310E17">
      <w:r>
        <w:t>Röle işletimi uygulamada dernek tüzel kişiliğine bağlıdır; bireysel röle ve geçici cross-band tekrarlama mevzuatta tanımsızdır. APRS digipeater'lar de facto yaygındır (aprs.fi'de yüzlerce TR istasyonu) ama aynı belirsizliği taşır. En güvenli yol dernek/kulüp çatısı altında koordinasyondur.</w:t>
      </w:r>
    </w:p>
    <w:p w:rsidR="00245ED4" w:rsidRDefault="00310E17">
      <w:pPr>
        <w:pStyle w:val="Heading30"/>
      </w:pPr>
      <w:r>
        <w:t>İnternetten 'amatör telsiz' diye satılan POC cihaz alsam olur mu? (GA-POC)</w:t>
      </w:r>
    </w:p>
    <w:p w:rsidR="00245ED4" w:rsidRDefault="00310E17">
      <w:r>
        <w:t>Dikkat: POC (Push-to-Talk over Cellular) cihazlar hücresel şebeke (SIM kart) kullanır, amatör frekans spektrumunu hiç kullanmaz; amatör belge ve çağrı işaretiyle ilişkisi yoktur. 'Amatör telsiz' veya 'afet telsizi' diye pazarlanması yanıltıcıdır. Satın almadan önce cihazın amatör bantlarda RF verici olup olmadığını kontrol edin.</w:t>
      </w:r>
    </w:p>
    <w:p w:rsidR="00245ED4" w:rsidRDefault="00310E17">
      <w:pPr>
        <w:pStyle w:val="Heading30"/>
      </w:pPr>
      <w:r>
        <w:t>Röle mandalcılığını ve kasıtlı girişimi kime şikâyet ederim? (GA-ENFORC)</w:t>
      </w:r>
    </w:p>
    <w:p w:rsidR="00245ED4" w:rsidRDefault="00310E17">
      <w:r>
        <w:t>Denetim yetkisi yalnızca BTK/KEGM'dedir; bireysel 'frekans polisliğinin' yasal dayanağı yoktur. Girişimi tarih, saat, frekans ve mümkünse kayıtla belgeleyin ve BTK'ya yazılı bildirin. Kulüp/dernek üzerinden yapılan toplu başvurular bireysel şikâyetten daha etkilidir.</w:t>
      </w:r>
    </w:p>
    <w:p w:rsidR="00245ED4" w:rsidRDefault="00310E17">
      <w:pPr>
        <w:pStyle w:val="Heading30"/>
      </w:pPr>
      <w:r>
        <w:t>Vefat eden amatörün (Silent Key) çağrı işareti ne olur? (GA-SK)</w:t>
      </w:r>
    </w:p>
    <w:p w:rsidR="00245ED4" w:rsidRDefault="00310E17">
      <w:r>
        <w:t>Camiada yaygın algının aksine bu tanımsız değil: KEGM Yönetmeliği Md.7/2, vefat/vesayet hâlinde çağrı işaretinin — belgenin geçerlilik süresi içinde, aynı bölgede ikamet eden ve eşdeğer belgeye sahip bir varis/vasiye, hak sahipliği belgelenerek — tahsis edilebileceğini düzenler. Ancak dar bir mekanizmadır: süre sonrası akıbet açık değildir ve varisin zaten kendi belgesine sahip olması şartı çoğu aileyi kapsam dışı bırakır. Usulün netleştirilmesi KEGM'den talep edilmektedir (Tablo B, Taslak 9).</w:t>
      </w:r>
    </w:p>
    <w:p w:rsidR="00245ED4" w:rsidRDefault="00310E17">
      <w:pPr>
        <w:pStyle w:val="Heading30"/>
      </w:pPr>
      <w:r>
        <w:t>Başka bölgeye taşındım; çağrı işaretim değişir mi? (GA-CALL)</w:t>
      </w:r>
    </w:p>
    <w:p w:rsidR="00245ED4" w:rsidRDefault="00310E17">
      <w:r>
        <w:t>Üç ay içinde KEGM'e başvurmanız gerekir; ancak tam değişim zorunlu değildir — mevcut işaretinizi '/(bölge rakamı)' ekleyerek koruyabilirsiniz (ör. TA3A/4). Kalıcı ikamette bu korumanın süresiz kabul edilip edilmeyeceği belirsizdir; 'zorunlu tam değişim' yaygın ama yanlış bir algıdır.</w:t>
      </w:r>
    </w:p>
    <w:p w:rsidR="00245ED4" w:rsidRDefault="00310E17">
      <w:pPr>
        <w:pStyle w:val="Heading30"/>
      </w:pPr>
      <w:r>
        <w:t>İnternette herkese satılan ucuz telsizler sorun mu? (GA-CIHAZ)</w:t>
      </w:r>
    </w:p>
    <w:p w:rsidR="00245ED4" w:rsidRDefault="00310E17">
      <w:r>
        <w:t>Sorunun kaynağı belgeli amatör değil, uygunluk denetimi zayıf piyasadır. Bağımsız testlerde bu sınıf cihazların büyük bölümü istenmeyen emisyon limitlerini karşılamadı; BTK 2019'da UV-5R dahil bazı modelleri güvensiz ilan edip toplattı. Belgeli amatör olarak uygunluğu bilinen cihaz kullanın; cihaz devrederken tarih, alıcı ve seri numarası kaydı tutun — bu kayıt sizi cihazın sonraki kötüye kullanımına ilişkin şüpheden korur.</w:t>
      </w:r>
    </w:p>
    <w:p w:rsidR="00245ED4" w:rsidRDefault="00310E17">
      <w:pPr>
        <w:pStyle w:val="Heading30"/>
      </w:pPr>
      <w:r>
        <w:t>Amatörlerin afetteki rolü resmî mi? (GA-EMCOMM)</w:t>
      </w:r>
    </w:p>
    <w:p w:rsidR="00245ED4" w:rsidRDefault="00310E17">
      <w:r>
        <w:t>Kısmen tanınıyor: KEGM yönetmeliği afet haberleşmesini amatör istasyonun amaçları arasında sayar; FTM Teknik Ölçütler Md.22 §3-§4 afette yardım ve izinli frekans kullanımına dayanak verir. Dahası amatör telsiz dernekleri, ulusal afet haberleşme planı yazışmalarında 2012'den 2024'e uzanan süreklilikle ismen “çözüm ortağı” olarak anılmıştır. Eksik olan protokolün varlığı değil, içeriğidir: amatöre hangi görevin verildiği (teknik destek mi, operatörlük mü) ve bireysel amatörün nasıl dâhil olacağı yazılı değildir. Talep, planın amatörlere ilişkin bölümünün açıklanması ve görev tanımının netleştirilmesidir (Tablo B).</w:t>
      </w:r>
    </w:p>
    <w:p w:rsidR="00245ED4" w:rsidRDefault="00310E17">
      <w:r>
        <w:rPr>
          <w:i/>
        </w:rPr>
        <w:t>Bu özet bilgilendirme amaçlıdır ve hukuki tavsiye değildir. Her başlığın ayrıntısı ve birincil kaynakları §3'teki ilgili GA bölümündedir; kurumlara iletilecek talepler Tablo B'de, topluluk oylaması Uzlaşı Oy Pusulası'ndadır.</w:t>
      </w:r>
    </w:p>
    <w:p w:rsidR="000A506A" w:rsidRDefault="000A506A">
      <w:pPr>
        <w:rPr>
          <w:b/>
          <w:bCs/>
          <w:color w:val="1F4E79"/>
          <w:sz w:val="28"/>
          <w:szCs w:val="28"/>
        </w:rPr>
      </w:pPr>
      <w:r>
        <w:br w:type="page"/>
      </w:r>
    </w:p>
    <w:p w:rsidR="00D23DE4" w:rsidRDefault="00EF56A4">
      <w:pPr>
        <w:pStyle w:val="Heading10"/>
        <w:pBdr>
          <w:bottom w:val="single" w:sz="6" w:space="4" w:color="2E75B6"/>
        </w:pBdr>
      </w:pPr>
      <w:r>
        <w:t>6. Talep Özeti — Tablo B Bağlantısı</w:t>
      </w:r>
    </w:p>
    <w:p w:rsidR="00D23DE4" w:rsidRDefault="00EF56A4">
      <w:pPr>
        <w:spacing w:before="80" w:after="120"/>
      </w:pPr>
      <w:r>
        <w:t>Gri alanlar ve IARU eksikliklerine</w:t>
      </w:r>
      <w:r w:rsidR="00760C22">
        <w:t xml:space="preserve"> yönelik h</w:t>
      </w:r>
      <w:r>
        <w:t>er talep için gerekçe, dayanak, muhatap kurum ve örnek başvuru taslağı Tablo B'de hazırlanmıştır (22 talep). Aşağıdaki tablo 22 talebin tümünü özetler; gerekçeler, dayanaklar ve örnek başvuru taslakları Tablo B'dedir.</w:t>
      </w:r>
    </w:p>
    <w:tbl>
      <w:tblPr>
        <w:tblW w:w="958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516"/>
        <w:gridCol w:w="1452"/>
        <w:gridCol w:w="3145"/>
        <w:gridCol w:w="1560"/>
        <w:gridCol w:w="1077"/>
        <w:gridCol w:w="1838"/>
      </w:tblGrid>
      <w:tr w:rsidR="00D23DE4" w:rsidTr="00760C22">
        <w:trPr>
          <w:trHeight w:val="206"/>
        </w:trPr>
        <w:tc>
          <w:tcPr>
            <w:tcW w:w="516"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w:t>
            </w:r>
          </w:p>
        </w:tc>
        <w:tc>
          <w:tcPr>
            <w:tcW w:w="1452"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Kod</w:t>
            </w:r>
          </w:p>
        </w:tc>
        <w:tc>
          <w:tcPr>
            <w:tcW w:w="3145"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Talep</w:t>
            </w:r>
          </w:p>
        </w:tc>
        <w:tc>
          <w:tcPr>
            <w:tcW w:w="1560"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Muhatap</w:t>
            </w:r>
          </w:p>
        </w:tc>
        <w:tc>
          <w:tcPr>
            <w:tcW w:w="1077"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Öncelik</w:t>
            </w:r>
          </w:p>
        </w:tc>
        <w:tc>
          <w:tcPr>
            <w:tcW w:w="1838" w:type="dxa"/>
            <w:tcBorders>
              <w:top w:val="single" w:sz="1" w:space="0" w:color="2E75B6"/>
              <w:left w:val="single" w:sz="1" w:space="0" w:color="2E75B6"/>
              <w:bottom w:val="single" w:sz="1" w:space="0" w:color="2E75B6"/>
              <w:right w:val="single" w:sz="1" w:space="0" w:color="2E75B6"/>
            </w:tcBorders>
            <w:shd w:val="clear" w:color="auto" w:fill="1F4E79"/>
            <w:tcMar>
              <w:top w:w="80" w:type="dxa"/>
              <w:left w:w="120" w:type="dxa"/>
              <w:bottom w:w="80" w:type="dxa"/>
              <w:right w:w="120" w:type="dxa"/>
            </w:tcMar>
            <w:vAlign w:val="center"/>
          </w:tcPr>
          <w:p w:rsidR="00D23DE4" w:rsidRDefault="00EF56A4">
            <w:r>
              <w:rPr>
                <w:b/>
                <w:bCs/>
                <w:color w:val="FFFFFF"/>
                <w:sz w:val="18"/>
                <w:szCs w:val="18"/>
              </w:rPr>
              <w:t>Etki</w:t>
            </w:r>
          </w:p>
        </w:tc>
      </w:tr>
      <w:tr w:rsidR="00D23DE4"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7B3791" w:rsidRDefault="00201410">
            <w:r>
              <w:t>1</w:t>
            </w:r>
          </w:p>
        </w:tc>
        <w:tc>
          <w:tcPr>
            <w:tcW w:w="1452"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color w:val="000000"/>
                <w:sz w:val="18"/>
                <w:szCs w:val="18"/>
              </w:rPr>
              <w:t>GA-1</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Amatör Telsizcilik Yönetmeliği çıkarılması</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Çok Yüksek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Tüm operatörler</w:t>
            </w:r>
          </w:p>
        </w:tc>
      </w:tr>
      <w:tr w:rsidR="00D23DE4" w:rsidTr="00760C22">
        <w:trPr>
          <w:trHeight w:val="419"/>
        </w:trPr>
        <w:tc>
          <w:tcPr>
            <w:tcW w:w="516"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7B3791" w:rsidRDefault="00201410">
            <w:r>
              <w:t>2</w:t>
            </w:r>
          </w:p>
        </w:tc>
        <w:tc>
          <w:tcPr>
            <w:tcW w:w="1452" w:type="dxa"/>
            <w:tcBorders>
              <w:top w:val="single" w:sz="1" w:space="0" w:color="AAAAAA"/>
              <w:left w:val="single" w:sz="1" w:space="0" w:color="AAAAAA"/>
              <w:bottom w:val="single" w:sz="1" w:space="0" w:color="AAAAAA"/>
              <w:right w:val="single" w:sz="1" w:space="0" w:color="AAAAAA"/>
            </w:tcBorders>
            <w:shd w:val="clear" w:color="auto" w:fill="FCE4D6"/>
            <w:tcMar>
              <w:top w:w="80" w:type="dxa"/>
              <w:left w:w="120" w:type="dxa"/>
              <w:bottom w:w="80" w:type="dxa"/>
              <w:right w:w="120" w:type="dxa"/>
            </w:tcMar>
          </w:tcPr>
          <w:p w:rsidR="00D23DE4" w:rsidRDefault="00EF56A4">
            <w:r>
              <w:rPr>
                <w:color w:val="000000"/>
                <w:sz w:val="18"/>
                <w:szCs w:val="18"/>
              </w:rPr>
              <w:t>GA-3</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CEPT T/R 61-01/61-02 tanınması</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Ulaştırma Bak.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Yüksek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Ulusl. amatörler</w:t>
            </w:r>
          </w:p>
        </w:tc>
      </w:tr>
      <w:tr w:rsidR="00D23DE4" w:rsidTr="00760C22">
        <w:trPr>
          <w:trHeight w:val="392"/>
        </w:trPr>
        <w:tc>
          <w:tcPr>
            <w:tcW w:w="516"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7B3791" w:rsidRDefault="00201410">
            <w:r>
              <w:t>3</w:t>
            </w:r>
          </w:p>
        </w:tc>
        <w:tc>
          <w:tcPr>
            <w:tcW w:w="1452"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GA-2</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Belge sınıfı yetki tablosunun netleştirilmesi</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KEGM/BTK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Yüksek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Tüm amatörler</w:t>
            </w:r>
          </w:p>
        </w:tc>
      </w:tr>
      <w:tr w:rsidR="00D23DE4"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7B3791" w:rsidRDefault="00201410">
            <w:r>
              <w:t>4</w:t>
            </w:r>
          </w:p>
        </w:tc>
        <w:tc>
          <w:tcPr>
            <w:tcW w:w="1452"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GA-RX</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RX özgürlüğünü kodifiye eden düzenleme</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Yüksek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Tüm amatörler</w:t>
            </w:r>
          </w:p>
        </w:tc>
      </w:tr>
      <w:tr w:rsidR="00D23DE4" w:rsidTr="00760C22">
        <w:trPr>
          <w:trHeight w:val="514"/>
        </w:trPr>
        <w:tc>
          <w:tcPr>
            <w:tcW w:w="516"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7B3791" w:rsidRDefault="00201410">
            <w:r>
              <w:t>5</w:t>
            </w:r>
          </w:p>
        </w:tc>
        <w:tc>
          <w:tcPr>
            <w:tcW w:w="1452"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7B3791" w:rsidRDefault="00201410">
            <w:r>
              <w:t>GA-RX/Kanal</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7B3791" w:rsidRDefault="00760C22">
            <w:r>
              <w:rPr>
                <w:color w:val="000000"/>
                <w:sz w:val="18"/>
                <w:szCs w:val="18"/>
              </w:rPr>
              <w:t xml:space="preserve">Kanal hafızası frekans kaydı - </w:t>
            </w:r>
            <w:r w:rsidR="00201410" w:rsidRPr="00760C22">
              <w:rPr>
                <w:color w:val="000000"/>
                <w:sz w:val="18"/>
                <w:szCs w:val="18"/>
              </w:rPr>
              <w:t xml:space="preserve"> teknik açıklama ve delil takdiri</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7B3791" w:rsidRPr="00760C22" w:rsidRDefault="00201410">
            <w:pPr>
              <w:rPr>
                <w:color w:val="000000"/>
                <w:sz w:val="18"/>
                <w:szCs w:val="18"/>
              </w:rPr>
            </w:pPr>
            <w:r w:rsidRPr="00760C22">
              <w:rPr>
                <w:color w:val="000000"/>
                <w:sz w:val="18"/>
                <w:szCs w:val="18"/>
              </w:rPr>
              <w:t>BTK + Adalet Bak.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7B3791" w:rsidRPr="00760C22" w:rsidRDefault="00201410">
            <w:pPr>
              <w:rPr>
                <w:color w:val="000000"/>
                <w:sz w:val="18"/>
                <w:szCs w:val="18"/>
              </w:rPr>
            </w:pPr>
            <w:r w:rsidRPr="00760C22">
              <w:rPr>
                <w:color w:val="000000"/>
                <w:sz w:val="18"/>
                <w:szCs w:val="18"/>
              </w:rPr>
              <w:t>Ort</w:t>
            </w:r>
            <w:r w:rsidR="00760C22">
              <w:rPr>
                <w:color w:val="000000"/>
                <w:sz w:val="18"/>
                <w:szCs w:val="18"/>
              </w:rPr>
              <w: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7B3791" w:rsidRPr="00760C22" w:rsidRDefault="00201410">
            <w:pPr>
              <w:rPr>
                <w:color w:val="000000"/>
                <w:sz w:val="18"/>
                <w:szCs w:val="18"/>
              </w:rPr>
            </w:pPr>
            <w:r w:rsidRPr="00760C22">
              <w:rPr>
                <w:color w:val="000000"/>
                <w:sz w:val="18"/>
                <w:szCs w:val="18"/>
              </w:rPr>
              <w:t>Tüm amatörler</w:t>
            </w:r>
          </w:p>
        </w:tc>
      </w:tr>
      <w:tr w:rsidR="00D23DE4"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7B3791" w:rsidRDefault="00201410">
            <w:r>
              <w:t>6</w:t>
            </w:r>
          </w:p>
        </w:tc>
        <w:tc>
          <w:tcPr>
            <w:tcW w:w="1452"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GA-DIG</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TAD 2021 güncelleme: FT8/Winlink/DMR/SDR</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Yüksek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Dijital kullanıcıları</w:t>
            </w:r>
          </w:p>
        </w:tc>
      </w:tr>
      <w:tr w:rsidR="00D23DE4" w:rsidTr="00760C22">
        <w:trPr>
          <w:trHeight w:val="392"/>
        </w:trPr>
        <w:tc>
          <w:tcPr>
            <w:tcW w:w="516"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7B3791" w:rsidRDefault="00201410">
            <w:r>
              <w:t>7</w:t>
            </w:r>
          </w:p>
        </w:tc>
        <w:tc>
          <w:tcPr>
            <w:tcW w:w="1452" w:type="dxa"/>
            <w:tcBorders>
              <w:top w:val="single" w:sz="1" w:space="0" w:color="AAAAAA"/>
              <w:left w:val="single" w:sz="1" w:space="0" w:color="AAAAAA"/>
              <w:bottom w:val="single" w:sz="1" w:space="0" w:color="AAAAAA"/>
              <w:right w:val="single" w:sz="1" w:space="0" w:color="AAAAAA"/>
            </w:tcBorders>
            <w:shd w:val="clear" w:color="auto" w:fill="FFF2CC"/>
            <w:tcMar>
              <w:top w:w="80" w:type="dxa"/>
              <w:left w:w="120" w:type="dxa"/>
              <w:bottom w:w="80" w:type="dxa"/>
              <w:right w:w="120" w:type="dxa"/>
            </w:tcMar>
          </w:tcPr>
          <w:p w:rsidR="00D23DE4" w:rsidRDefault="00EF56A4">
            <w:r>
              <w:rPr>
                <w:color w:val="000000"/>
                <w:sz w:val="18"/>
                <w:szCs w:val="18"/>
              </w:rPr>
              <w:t>GA-6</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Anten kurulum güvencesi (KMK uyum)</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Çevre Bak./BTK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Yüksek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Sabit istasyonlar</w:t>
            </w:r>
          </w:p>
        </w:tc>
      </w:tr>
      <w:tr w:rsidR="00D23DE4" w:rsidTr="00760C22">
        <w:trPr>
          <w:trHeight w:val="386"/>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7B3791" w:rsidRDefault="00201410">
            <w:r>
              <w:t>8</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GA-CROSS</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Bireysel role ve APRS yasallaştırılması</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BTK/KEGM</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Default="00EF56A4">
            <w:r>
              <w:rPr>
                <w:color w:val="000000"/>
                <w:sz w:val="18"/>
                <w:szCs w:val="18"/>
              </w:rPr>
              <w:t>Role/APRS kullan.</w:t>
            </w:r>
          </w:p>
        </w:tc>
      </w:tr>
      <w:tr w:rsidR="00D23DE4" w:rsidTr="00760C22">
        <w:trPr>
          <w:trHeight w:val="366"/>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7B3791" w:rsidRDefault="00201410">
            <w:r>
              <w:t>9</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GA-NODE</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EchoLink/WebSDR — RTUK/BTK ortak teyit</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BTK+RTUK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Node işleticileri</w:t>
            </w:r>
          </w:p>
        </w:tc>
      </w:tr>
      <w:tr w:rsidR="00D23DE4"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7B3791" w:rsidRDefault="00201410">
            <w:r>
              <w:t>10</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GA-ENFORC</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BTK girişim tespit kapasitesi + role rehberi</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Tüm topluluk</w:t>
            </w:r>
          </w:p>
        </w:tc>
      </w:tr>
      <w:tr w:rsidR="00D23DE4"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7B3791" w:rsidRDefault="00201410">
            <w:r>
              <w:t>11</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GA-4</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Gümrükte geçici cihaz çıkış prosedürü</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Gümrük Bak.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Düşük-Orta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Seyahat amatörler</w:t>
            </w:r>
          </w:p>
        </w:tc>
      </w:tr>
      <w:tr w:rsidR="00D23DE4" w:rsidTr="00760C22">
        <w:trPr>
          <w:trHeight w:val="392"/>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7B3791" w:rsidRDefault="00201410">
            <w:r>
              <w:t>12</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D23DE4" w:rsidRDefault="00EF56A4">
            <w:r>
              <w:rPr>
                <w:color w:val="000000"/>
                <w:sz w:val="18"/>
                <w:szCs w:val="18"/>
              </w:rPr>
              <w:t>GA-POC</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POC yanıltıcı pazarlama — ticari rehber</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Ticaret Bak.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Düşük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D23DE4" w:rsidRPr="003A7C8F" w:rsidRDefault="00EF56A4">
            <w:pPr>
              <w:rPr>
                <w:color w:val="000000"/>
                <w:sz w:val="18"/>
                <w:szCs w:val="18"/>
              </w:rPr>
            </w:pPr>
            <w:r>
              <w:rPr>
                <w:color w:val="000000"/>
                <w:sz w:val="18"/>
                <w:szCs w:val="18"/>
              </w:rPr>
              <w:t>Tüketiciler</w:t>
            </w:r>
          </w:p>
        </w:tc>
      </w:tr>
      <w:tr w:rsidR="00201410"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13</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GA-BAND-2</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70,0-70,5 MHz (4m) ikincil amatör tahsisi</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VHF operatörleri</w:t>
            </w:r>
          </w:p>
        </w:tc>
      </w:tr>
      <w:tr w:rsidR="00201410"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14</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GA-BAND-3</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Mikrodalga bantları için TAD teknik şartları</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Mikrodalga/ATV</w:t>
            </w:r>
          </w:p>
        </w:tc>
      </w:tr>
      <w:tr w:rsidR="00201410"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15</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GA-ARAC</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Mobil istasyon montaj ve kullanım kılavuzu</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Düşük-Orta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Mobil operatörler</w:t>
            </w:r>
          </w:p>
        </w:tc>
      </w:tr>
      <w:tr w:rsidR="00201410"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16</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GA-POTA</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POTA arazi izinleri 'hangi kurum' kılavuzu</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Tarım-Orman/ÇŞİB</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Düşük-Orta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Saha aktivasyonu</w:t>
            </w:r>
          </w:p>
        </w:tc>
      </w:tr>
      <w:tr w:rsidR="00201410" w:rsidTr="00760C22">
        <w:trPr>
          <w:trHeight w:val="392"/>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17</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GA-AREDN</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2,4/5,8 GHz TAD + 'kendi imalı cihaz' tanımı</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BTK/KEGM</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Düşük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Mesh kullanıcıları</w:t>
            </w:r>
          </w:p>
        </w:tc>
      </w:tr>
      <w:tr w:rsidR="00201410"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18</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GA-LORA</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433 MHz SRD-amatör sınırı; 915 MHz uyarısı</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LoRa/Meshtastic</w:t>
            </w:r>
          </w:p>
        </w:tc>
      </w:tr>
      <w:tr w:rsidR="00201410"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19</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GA-SK</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Silent Key / çağrı işareti yaşam döngüsü</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KEGM</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Tüm camia</w:t>
            </w:r>
          </w:p>
        </w:tc>
      </w:tr>
      <w:tr w:rsidR="00201410" w:rsidTr="00760C22">
        <w:trPr>
          <w:trHeight w:val="318"/>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20</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GA-CALL</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Bölge değişiminde çağrı işareti taşınabilirliği</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KEGM</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Orta</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Taşınan operatörler</w:t>
            </w:r>
          </w:p>
        </w:tc>
      </w:tr>
      <w:tr w:rsidR="00201410" w:rsidTr="00760C22">
        <w:trPr>
          <w:trHeight w:val="410"/>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21</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GA-CIHAZ</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Cihaz uygunluğu, satışta belge kontrolü, devir kaydı</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BTK + Ticaret Bak.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Yüksek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Tüm camia + kamu</w:t>
            </w:r>
          </w:p>
        </w:tc>
      </w:tr>
      <w:tr w:rsidR="00201410" w:rsidTr="00760C22">
        <w:trPr>
          <w:trHeight w:val="32"/>
        </w:trPr>
        <w:tc>
          <w:tcPr>
            <w:tcW w:w="516"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jc w:val="center"/>
              <w:rPr>
                <w:color w:val="000000"/>
                <w:sz w:val="18"/>
                <w:szCs w:val="18"/>
              </w:rPr>
            </w:pPr>
            <w:r w:rsidRPr="00201410">
              <w:rPr>
                <w:color w:val="000000"/>
                <w:sz w:val="18"/>
                <w:szCs w:val="18"/>
              </w:rPr>
              <w:t>22</w:t>
            </w:r>
          </w:p>
        </w:tc>
        <w:tc>
          <w:tcPr>
            <w:tcW w:w="1452" w:type="dxa"/>
            <w:tcBorders>
              <w:top w:val="single" w:sz="1" w:space="0" w:color="AAAAAA"/>
              <w:left w:val="single" w:sz="1" w:space="0" w:color="AAAAAA"/>
              <w:bottom w:val="single" w:sz="1" w:space="0" w:color="AAAAAA"/>
              <w:right w:val="single" w:sz="1" w:space="0" w:color="AAAAAA"/>
            </w:tcBorders>
            <w:shd w:val="clear" w:color="auto" w:fill="E2EFDA"/>
            <w:tcMar>
              <w:top w:w="80" w:type="dxa"/>
              <w:left w:w="120" w:type="dxa"/>
              <w:bottom w:w="80" w:type="dxa"/>
              <w:right w:w="120" w:type="dxa"/>
            </w:tcMar>
          </w:tcPr>
          <w:p w:rsidR="00201410" w:rsidRPr="00201410" w:rsidRDefault="00201410" w:rsidP="00201410">
            <w:pPr>
              <w:rPr>
                <w:color w:val="000000"/>
                <w:sz w:val="18"/>
                <w:szCs w:val="18"/>
              </w:rPr>
            </w:pPr>
            <w:r w:rsidRPr="00201410">
              <w:rPr>
                <w:color w:val="000000"/>
                <w:sz w:val="18"/>
                <w:szCs w:val="18"/>
              </w:rPr>
              <w:t>GA-EMCOMM</w:t>
            </w:r>
          </w:p>
        </w:tc>
        <w:tc>
          <w:tcPr>
            <w:tcW w:w="3145"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AFAD ile afet haberleşme protokolü (MOU)</w:t>
            </w:r>
          </w:p>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AFAD + KEGM/BTK</w:t>
            </w:r>
          </w:p>
        </w:tc>
        <w:tc>
          <w:tcPr>
            <w:tcW w:w="107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Yüksek</w:t>
            </w:r>
          </w:p>
        </w:tc>
        <w:tc>
          <w:tcPr>
            <w:tcW w:w="1838"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201410" w:rsidRPr="003A7C8F" w:rsidRDefault="00201410" w:rsidP="00201410">
            <w:pPr>
              <w:rPr>
                <w:color w:val="000000"/>
                <w:sz w:val="18"/>
                <w:szCs w:val="18"/>
              </w:rPr>
            </w:pPr>
            <w:r w:rsidRPr="003A7C8F">
              <w:rPr>
                <w:color w:val="000000"/>
                <w:sz w:val="18"/>
                <w:szCs w:val="18"/>
              </w:rPr>
              <w:t>Tüm camia</w:t>
            </w:r>
          </w:p>
        </w:tc>
      </w:tr>
    </w:tbl>
    <w:p w:rsidR="00D23DE4" w:rsidRDefault="00D23DE4">
      <w:pPr>
        <w:spacing w:before="120"/>
      </w:pPr>
    </w:p>
    <w:p w:rsidR="00245ED4" w:rsidRDefault="00310E17">
      <w:r>
        <w:rPr>
          <w:i/>
        </w:rPr>
        <w:t>Not: IARU Bölge 1 Türkiye üyesi kuruluş TRAC'tır (bilgi amaçlı; bu belge herhangi bir derneğe rol atfetmez).</w:t>
      </w:r>
    </w:p>
    <w:sectPr w:rsidR="00245ED4" w:rsidSect="003A7C8F">
      <w:headerReference w:type="default" r:id="rId9"/>
      <w:footerReference w:type="default" r:id="rId10"/>
      <w:pgSz w:w="11906" w:h="16838"/>
      <w:pgMar w:top="993" w:right="1134"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4575" w:rsidRDefault="006B4575" w:rsidP="00D23DE4">
      <w:r>
        <w:separator/>
      </w:r>
    </w:p>
  </w:endnote>
  <w:endnote w:type="continuationSeparator" w:id="1">
    <w:p w:rsidR="006B4575" w:rsidRDefault="006B4575" w:rsidP="00D23DE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410" w:rsidRDefault="00201410">
    <w:pPr>
      <w:pBdr>
        <w:top w:val="single" w:sz="4" w:space="4" w:color="2E75B6"/>
      </w:pBdr>
    </w:pPr>
    <w:r>
      <w:rPr>
        <w:color w:val="666666"/>
        <w:sz w:val="16"/>
        <w:szCs w:val="16"/>
      </w:rPr>
      <w:t xml:space="preserve">Sayfa </w:t>
    </w:r>
    <w:r w:rsidR="009F7EB0">
      <w:rPr>
        <w:color w:val="666666"/>
        <w:sz w:val="16"/>
        <w:szCs w:val="16"/>
      </w:rPr>
      <w:fldChar w:fldCharType="begin"/>
    </w:r>
    <w:r>
      <w:rPr>
        <w:color w:val="666666"/>
        <w:sz w:val="16"/>
        <w:szCs w:val="16"/>
      </w:rPr>
      <w:instrText>PAGE</w:instrText>
    </w:r>
    <w:r w:rsidR="009F7EB0">
      <w:rPr>
        <w:color w:val="666666"/>
        <w:sz w:val="16"/>
        <w:szCs w:val="16"/>
      </w:rPr>
      <w:fldChar w:fldCharType="separate"/>
    </w:r>
    <w:r w:rsidR="004E6DB2">
      <w:rPr>
        <w:noProof/>
        <w:color w:val="666666"/>
        <w:sz w:val="16"/>
        <w:szCs w:val="16"/>
      </w:rPr>
      <w:t>6</w:t>
    </w:r>
    <w:r w:rsidR="009F7EB0">
      <w:rPr>
        <w:color w:val="666666"/>
        <w:sz w:val="16"/>
        <w:szCs w:val="16"/>
      </w:rPr>
      <w:fldChar w:fldCharType="end"/>
    </w:r>
    <w:r>
      <w:rPr>
        <w:color w:val="666666"/>
        <w:sz w:val="16"/>
        <w:szCs w:val="16"/>
      </w:rPr>
      <w:t xml:space="preserve"> / </w:t>
    </w:r>
    <w:r w:rsidR="009F7EB0">
      <w:rPr>
        <w:color w:val="666666"/>
        <w:sz w:val="16"/>
        <w:szCs w:val="16"/>
      </w:rPr>
      <w:fldChar w:fldCharType="begin"/>
    </w:r>
    <w:r>
      <w:rPr>
        <w:color w:val="666666"/>
        <w:sz w:val="16"/>
        <w:szCs w:val="16"/>
      </w:rPr>
      <w:instrText>NUMPAGES</w:instrText>
    </w:r>
    <w:r w:rsidR="009F7EB0">
      <w:rPr>
        <w:color w:val="666666"/>
        <w:sz w:val="16"/>
        <w:szCs w:val="16"/>
      </w:rPr>
      <w:fldChar w:fldCharType="separate"/>
    </w:r>
    <w:r w:rsidR="004E6DB2">
      <w:rPr>
        <w:noProof/>
        <w:color w:val="666666"/>
        <w:sz w:val="16"/>
        <w:szCs w:val="16"/>
      </w:rPr>
      <w:t>7</w:t>
    </w:r>
    <w:r w:rsidR="009F7EB0">
      <w:rPr>
        <w:color w:val="666666"/>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4575" w:rsidRDefault="006B4575" w:rsidP="00D23DE4">
      <w:r>
        <w:separator/>
      </w:r>
    </w:p>
  </w:footnote>
  <w:footnote w:type="continuationSeparator" w:id="1">
    <w:p w:rsidR="006B4575" w:rsidRDefault="006B4575" w:rsidP="00D23D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410" w:rsidRDefault="00201410">
    <w:pPr>
      <w:pBdr>
        <w:bottom w:val="single" w:sz="4" w:space="4" w:color="2E75B6"/>
      </w:pBdr>
    </w:pPr>
    <w:r>
      <w:rPr>
        <w:color w:val="666666"/>
        <w:sz w:val="16"/>
        <w:szCs w:val="16"/>
      </w:rPr>
      <w:t xml:space="preserve">Amatör Telsizcilik — TR Mevzuat Analizi </w:t>
    </w:r>
    <w:r w:rsidR="004E6DB2">
      <w:rPr>
        <w:color w:val="666666"/>
        <w:sz w:val="16"/>
        <w:szCs w:val="16"/>
      </w:rPr>
      <w:t>v1.1</w:t>
    </w:r>
    <w:r>
      <w:rPr>
        <w:color w:val="666666"/>
        <w:sz w:val="16"/>
        <w:szCs w:val="16"/>
      </w:rPr>
      <w:t xml:space="preserve">  |  Tablo A + Gri Alanlar  |  </w:t>
    </w:r>
    <w:r w:rsidR="004E6DB2">
      <w:rPr>
        <w:color w:val="666666"/>
        <w:sz w:val="16"/>
        <w:szCs w:val="16"/>
      </w:rPr>
      <w:t>7 Ağustos 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A36A3"/>
    <w:multiLevelType w:val="hybridMultilevel"/>
    <w:tmpl w:val="7D8A79AA"/>
    <w:lvl w:ilvl="0" w:tplc="DA269118">
      <w:start w:val="1"/>
      <w:numFmt w:val="bullet"/>
      <w:lvlText w:val="."/>
      <w:lvlJc w:val="left"/>
      <w:pPr>
        <w:ind w:left="720" w:hanging="360"/>
      </w:pPr>
    </w:lvl>
    <w:lvl w:ilvl="1" w:tplc="C2360A7E">
      <w:start w:val="1"/>
      <w:numFmt w:val="bullet"/>
      <w:lvlText w:val="o"/>
      <w:lvlJc w:val="left"/>
      <w:pPr>
        <w:ind w:left="1080" w:hanging="360"/>
      </w:pPr>
    </w:lvl>
    <w:lvl w:ilvl="2" w:tplc="D8049290">
      <w:numFmt w:val="decimal"/>
      <w:lvlText w:val=""/>
      <w:lvlJc w:val="left"/>
    </w:lvl>
    <w:lvl w:ilvl="3" w:tplc="3708AFD2">
      <w:numFmt w:val="decimal"/>
      <w:lvlText w:val=""/>
      <w:lvlJc w:val="left"/>
    </w:lvl>
    <w:lvl w:ilvl="4" w:tplc="C162666E">
      <w:numFmt w:val="decimal"/>
      <w:lvlText w:val=""/>
      <w:lvlJc w:val="left"/>
    </w:lvl>
    <w:lvl w:ilvl="5" w:tplc="1760292E">
      <w:numFmt w:val="decimal"/>
      <w:lvlText w:val=""/>
      <w:lvlJc w:val="left"/>
    </w:lvl>
    <w:lvl w:ilvl="6" w:tplc="0E924A1E">
      <w:numFmt w:val="decimal"/>
      <w:lvlText w:val=""/>
      <w:lvlJc w:val="left"/>
    </w:lvl>
    <w:lvl w:ilvl="7" w:tplc="D4D0CF94">
      <w:numFmt w:val="decimal"/>
      <w:lvlText w:val=""/>
      <w:lvlJc w:val="left"/>
    </w:lvl>
    <w:lvl w:ilvl="8" w:tplc="EF7C31E2">
      <w:numFmt w:val="decimal"/>
      <w:lvlText w:val=""/>
      <w:lvlJc w:val="left"/>
    </w:lvl>
  </w:abstractNum>
  <w:abstractNum w:abstractNumId="1">
    <w:nsid w:val="6C2475C7"/>
    <w:multiLevelType w:val="hybridMultilevel"/>
    <w:tmpl w:val="182A6000"/>
    <w:lvl w:ilvl="0" w:tplc="7BE6AD34">
      <w:start w:val="1"/>
      <w:numFmt w:val="bullet"/>
      <w:lvlText w:val="●"/>
      <w:lvlJc w:val="left"/>
      <w:pPr>
        <w:ind w:left="720" w:hanging="360"/>
      </w:pPr>
    </w:lvl>
    <w:lvl w:ilvl="1" w:tplc="36943CD0">
      <w:start w:val="1"/>
      <w:numFmt w:val="bullet"/>
      <w:lvlText w:val="○"/>
      <w:lvlJc w:val="left"/>
      <w:pPr>
        <w:ind w:left="1440" w:hanging="360"/>
      </w:pPr>
    </w:lvl>
    <w:lvl w:ilvl="2" w:tplc="4BB0EC42">
      <w:start w:val="1"/>
      <w:numFmt w:val="bullet"/>
      <w:lvlText w:val="■"/>
      <w:lvlJc w:val="left"/>
      <w:pPr>
        <w:ind w:left="2160" w:hanging="360"/>
      </w:pPr>
    </w:lvl>
    <w:lvl w:ilvl="3" w:tplc="59AED768">
      <w:start w:val="1"/>
      <w:numFmt w:val="bullet"/>
      <w:lvlText w:val="●"/>
      <w:lvlJc w:val="left"/>
      <w:pPr>
        <w:ind w:left="2880" w:hanging="360"/>
      </w:pPr>
    </w:lvl>
    <w:lvl w:ilvl="4" w:tplc="4B8E1E74">
      <w:start w:val="1"/>
      <w:numFmt w:val="bullet"/>
      <w:lvlText w:val="○"/>
      <w:lvlJc w:val="left"/>
      <w:pPr>
        <w:ind w:left="3600" w:hanging="360"/>
      </w:pPr>
    </w:lvl>
    <w:lvl w:ilvl="5" w:tplc="9A203740">
      <w:start w:val="1"/>
      <w:numFmt w:val="bullet"/>
      <w:lvlText w:val="■"/>
      <w:lvlJc w:val="left"/>
      <w:pPr>
        <w:ind w:left="4320" w:hanging="360"/>
      </w:pPr>
    </w:lvl>
    <w:lvl w:ilvl="6" w:tplc="F990B0D0">
      <w:start w:val="1"/>
      <w:numFmt w:val="bullet"/>
      <w:lvlText w:val="●"/>
      <w:lvlJc w:val="left"/>
      <w:pPr>
        <w:ind w:left="5040" w:hanging="360"/>
      </w:pPr>
    </w:lvl>
    <w:lvl w:ilvl="7" w:tplc="BC7A0E92">
      <w:start w:val="1"/>
      <w:numFmt w:val="bullet"/>
      <w:lvlText w:val="●"/>
      <w:lvlJc w:val="left"/>
      <w:pPr>
        <w:ind w:left="5760" w:hanging="360"/>
      </w:pPr>
    </w:lvl>
    <w:lvl w:ilvl="8" w:tplc="41FE294E">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defaultTabStop w:val="708"/>
  <w:hyphenationZone w:val="425"/>
  <w:characterSpacingControl w:val="doNotCompress"/>
  <w:footnotePr>
    <w:footnote w:id="0"/>
    <w:footnote w:id="1"/>
  </w:footnotePr>
  <w:endnotePr>
    <w:endnote w:id="0"/>
    <w:endnote w:id="1"/>
  </w:endnotePr>
  <w:compat/>
  <w:rsids>
    <w:rsidRoot w:val="00D23DE4"/>
    <w:rsid w:val="000A506A"/>
    <w:rsid w:val="000E6879"/>
    <w:rsid w:val="000F5FE9"/>
    <w:rsid w:val="00137224"/>
    <w:rsid w:val="00201410"/>
    <w:rsid w:val="00234BA6"/>
    <w:rsid w:val="00245ED4"/>
    <w:rsid w:val="00310E17"/>
    <w:rsid w:val="003A7C8F"/>
    <w:rsid w:val="004E6DB2"/>
    <w:rsid w:val="005338D9"/>
    <w:rsid w:val="006054A1"/>
    <w:rsid w:val="006B4575"/>
    <w:rsid w:val="00760C22"/>
    <w:rsid w:val="007B3791"/>
    <w:rsid w:val="00824275"/>
    <w:rsid w:val="009F7EB0"/>
    <w:rsid w:val="00BF3417"/>
    <w:rsid w:val="00D23DE4"/>
    <w:rsid w:val="00D459B9"/>
    <w:rsid w:val="00EF56A4"/>
    <w:rsid w:val="00F15ED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ED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sid w:val="00D23DE4"/>
    <w:rPr>
      <w:sz w:val="56"/>
      <w:szCs w:val="56"/>
    </w:rPr>
  </w:style>
  <w:style w:type="paragraph" w:customStyle="1" w:styleId="Heading1">
    <w:name w:val="Heading 1"/>
    <w:qFormat/>
    <w:rsid w:val="00D23DE4"/>
    <w:rPr>
      <w:color w:val="2E74B5"/>
      <w:sz w:val="32"/>
      <w:szCs w:val="32"/>
    </w:rPr>
  </w:style>
  <w:style w:type="paragraph" w:customStyle="1" w:styleId="Heading2">
    <w:name w:val="Heading 2"/>
    <w:qFormat/>
    <w:rsid w:val="00D23DE4"/>
    <w:rPr>
      <w:color w:val="2E74B5"/>
      <w:sz w:val="26"/>
      <w:szCs w:val="26"/>
    </w:rPr>
  </w:style>
  <w:style w:type="paragraph" w:customStyle="1" w:styleId="Heading3">
    <w:name w:val="Heading 3"/>
    <w:qFormat/>
    <w:rsid w:val="00D23DE4"/>
    <w:rPr>
      <w:color w:val="1F4D78"/>
      <w:sz w:val="24"/>
      <w:szCs w:val="24"/>
    </w:rPr>
  </w:style>
  <w:style w:type="paragraph" w:customStyle="1" w:styleId="Heading4">
    <w:name w:val="Heading 4"/>
    <w:qFormat/>
    <w:rsid w:val="00D23DE4"/>
    <w:rPr>
      <w:i/>
      <w:iCs/>
      <w:color w:val="2E74B5"/>
    </w:rPr>
  </w:style>
  <w:style w:type="paragraph" w:customStyle="1" w:styleId="Heading5">
    <w:name w:val="Heading 5"/>
    <w:qFormat/>
    <w:rsid w:val="00D23DE4"/>
    <w:rPr>
      <w:color w:val="2E74B5"/>
    </w:rPr>
  </w:style>
  <w:style w:type="paragraph" w:customStyle="1" w:styleId="Heading6">
    <w:name w:val="Heading 6"/>
    <w:qFormat/>
    <w:rsid w:val="00D23DE4"/>
    <w:rPr>
      <w:color w:val="1F4D78"/>
    </w:rPr>
  </w:style>
  <w:style w:type="paragraph" w:customStyle="1" w:styleId="Gl1">
    <w:name w:val="Güçlü1"/>
    <w:qFormat/>
    <w:rsid w:val="00D23DE4"/>
    <w:rPr>
      <w:b/>
      <w:bCs/>
    </w:rPr>
  </w:style>
  <w:style w:type="paragraph" w:styleId="ListeParagraf">
    <w:name w:val="List Paragraph"/>
    <w:qFormat/>
    <w:rsid w:val="00D23DE4"/>
  </w:style>
  <w:style w:type="character" w:styleId="Kpr">
    <w:name w:val="Hyperlink"/>
    <w:uiPriority w:val="99"/>
    <w:unhideWhenUsed/>
    <w:rsid w:val="00D23DE4"/>
    <w:rPr>
      <w:color w:val="0563C1"/>
      <w:u w:val="single"/>
    </w:rPr>
  </w:style>
  <w:style w:type="character" w:styleId="DipnotBavurusu">
    <w:name w:val="footnote reference"/>
    <w:uiPriority w:val="99"/>
    <w:semiHidden/>
    <w:unhideWhenUsed/>
    <w:rsid w:val="00D23DE4"/>
    <w:rPr>
      <w:vertAlign w:val="superscript"/>
    </w:rPr>
  </w:style>
  <w:style w:type="paragraph" w:styleId="DipnotMetni">
    <w:name w:val="footnote text"/>
    <w:link w:val="DipnotMetniChar"/>
    <w:uiPriority w:val="99"/>
    <w:semiHidden/>
    <w:unhideWhenUsed/>
    <w:rsid w:val="00D23DE4"/>
  </w:style>
  <w:style w:type="character" w:customStyle="1" w:styleId="DipnotMetniChar">
    <w:name w:val="Dipnot Metni Char"/>
    <w:link w:val="DipnotMetni"/>
    <w:uiPriority w:val="99"/>
    <w:semiHidden/>
    <w:unhideWhenUsed/>
    <w:rsid w:val="00D23DE4"/>
    <w:rPr>
      <w:sz w:val="20"/>
      <w:szCs w:val="20"/>
    </w:rPr>
  </w:style>
  <w:style w:type="character" w:styleId="SonnotBavurusu">
    <w:name w:val="endnote reference"/>
    <w:uiPriority w:val="99"/>
    <w:semiHidden/>
    <w:unhideWhenUsed/>
    <w:rsid w:val="00D23DE4"/>
    <w:rPr>
      <w:vertAlign w:val="superscript"/>
    </w:rPr>
  </w:style>
  <w:style w:type="paragraph" w:styleId="SonnotMetni">
    <w:name w:val="endnote text"/>
    <w:link w:val="SonnotMetniChar"/>
    <w:uiPriority w:val="99"/>
    <w:semiHidden/>
    <w:unhideWhenUsed/>
    <w:rsid w:val="00D23DE4"/>
  </w:style>
  <w:style w:type="character" w:customStyle="1" w:styleId="SonnotMetniChar">
    <w:name w:val="Sonnot Metni Char"/>
    <w:link w:val="SonnotMetni"/>
    <w:uiPriority w:val="99"/>
    <w:semiHidden/>
    <w:unhideWhenUsed/>
    <w:rsid w:val="00D23DE4"/>
    <w:rPr>
      <w:sz w:val="20"/>
      <w:szCs w:val="20"/>
    </w:rPr>
  </w:style>
  <w:style w:type="paragraph" w:customStyle="1" w:styleId="Heading10">
    <w:name w:val="Heading 1"/>
    <w:qFormat/>
    <w:rsid w:val="00D23DE4"/>
    <w:pPr>
      <w:spacing w:before="320" w:after="160"/>
      <w:outlineLvl w:val="0"/>
    </w:pPr>
    <w:rPr>
      <w:b/>
      <w:bCs/>
      <w:color w:val="1F4E79"/>
      <w:sz w:val="28"/>
      <w:szCs w:val="28"/>
    </w:rPr>
  </w:style>
  <w:style w:type="paragraph" w:customStyle="1" w:styleId="Heading20">
    <w:name w:val="Heading 2"/>
    <w:qFormat/>
    <w:rsid w:val="00D23DE4"/>
    <w:pPr>
      <w:spacing w:before="240" w:after="120"/>
      <w:outlineLvl w:val="1"/>
    </w:pPr>
    <w:rPr>
      <w:b/>
      <w:bCs/>
      <w:color w:val="2E75B6"/>
      <w:sz w:val="24"/>
      <w:szCs w:val="24"/>
    </w:rPr>
  </w:style>
  <w:style w:type="paragraph" w:customStyle="1" w:styleId="Heading30">
    <w:name w:val="Heading 3"/>
    <w:qFormat/>
    <w:rsid w:val="00D23DE4"/>
    <w:pPr>
      <w:spacing w:before="160" w:after="80"/>
      <w:outlineLvl w:val="2"/>
    </w:pPr>
    <w:rPr>
      <w:b/>
      <w:bCs/>
      <w:color w:val="404040"/>
      <w:sz w:val="22"/>
      <w:szCs w:val="22"/>
    </w:rPr>
  </w:style>
</w:styles>
</file>

<file path=word/webSettings.xml><?xml version="1.0" encoding="utf-8"?>
<w:webSettings xmlns:r="http://schemas.openxmlformats.org/officeDocument/2006/relationships" xmlns:w="http://schemas.openxmlformats.org/wordprocessingml/2006/main">
  <w:divs>
    <w:div w:id="208415519">
      <w:bodyDiv w:val="1"/>
      <w:marLeft w:val="0"/>
      <w:marRight w:val="0"/>
      <w:marTop w:val="0"/>
      <w:marBottom w:val="0"/>
      <w:divBdr>
        <w:top w:val="none" w:sz="0" w:space="0" w:color="auto"/>
        <w:left w:val="none" w:sz="0" w:space="0" w:color="auto"/>
        <w:bottom w:val="none" w:sz="0" w:space="0" w:color="auto"/>
        <w:right w:val="none" w:sz="0" w:space="0" w:color="auto"/>
      </w:divBdr>
      <w:divsChild>
        <w:div w:id="5262591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43</TotalTime>
  <Pages>7</Pages>
  <Words>10111</Words>
  <Characters>57638</Characters>
  <Application>Microsoft Office Word</Application>
  <DocSecurity>0</DocSecurity>
  <Lines>480</Lines>
  <Paragraphs>135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
  <dcterms:created xsi:type="dcterms:W3CDTF">2026-06-30T14:13:00Z</dcterms:created>
  <dcterms:modified xsi:type="dcterms:W3CDTF">2026-08-07T11:25:00Z</dcterms:modified>
</cp:coreProperties>
</file>