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DE4" w:rsidRDefault="00EF56A4">
      <w:pPr>
        <w:spacing w:before="1440" w:after="240"/>
        <w:jc w:val="center"/>
      </w:pPr>
      <w:r>
        <w:rPr>
          <w:b/>
          <w:bCs/>
          <w:color w:val="1F4E79"/>
          <w:sz w:val="52"/>
          <w:szCs w:val="52"/>
        </w:rPr>
        <w:t>AMATÖR TELSİZCİLİK</w:t>
      </w:r>
    </w:p>
    <w:p w:rsidR="00D23DE4" w:rsidRDefault="00EF56A4">
      <w:pPr>
        <w:spacing w:after="120"/>
        <w:jc w:val="center"/>
      </w:pPr>
      <w:r>
        <w:rPr>
          <w:color w:val="2E75B6"/>
          <w:sz w:val="34"/>
          <w:szCs w:val="34"/>
        </w:rPr>
        <w:t>Türkiye Mevzuat Analizi — Tablo A</w:t>
      </w:r>
    </w:p>
    <w:p w:rsidR="00D23DE4" w:rsidRDefault="00EF56A4">
      <w:pPr>
        <w:pBdr>
          <w:bottom w:val="single" w:sz="8" w:space="8" w:color="2E75B6"/>
        </w:pBdr>
        <w:spacing w:after="480"/>
        <w:jc w:val="center"/>
      </w:pPr>
      <w:r>
        <w:rPr>
          <w:color w:val="555555"/>
          <w:sz w:val="21"/>
          <w:szCs w:val="21"/>
        </w:rPr>
        <w:t>Mevzuat Envanteri | Gri Alanlar | IARU/CEPT Eksikleri | Karşılaştırmalı Analiz</w:t>
      </w:r>
    </w:p>
    <w:p w:rsidR="00D23DE4" w:rsidRDefault="00D23DE4">
      <w:pPr>
        <w:spacing w:before="240"/>
      </w:pPr>
    </w:p>
    <w:tbl>
      <w:tblPr>
        <w:tblW w:w="959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977"/>
        <w:gridCol w:w="6620"/>
      </w:tblGrid>
      <w:tr w:rsidR="00D23DE4" w:rsidTr="00137224">
        <w:trPr>
          <w:trHeight w:val="200"/>
        </w:trPr>
        <w:tc>
          <w:tcPr>
            <w:tcW w:w="2977"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Hazırlayan</w:t>
            </w:r>
          </w:p>
        </w:tc>
        <w:tc>
          <w:tcPr>
            <w:tcW w:w="662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0A506A" w:rsidP="00137224">
            <w:r>
              <w:rPr>
                <w:color w:val="000000"/>
                <w:sz w:val="18"/>
                <w:szCs w:val="18"/>
              </w:rPr>
              <w:t>Claude (Anthropic) yapay zekâsı desteğiyle hazırlanmış; doğrulama ve son düzenlemeler insan gözetimiyle yapılmıştır.</w:t>
            </w:r>
          </w:p>
        </w:tc>
      </w:tr>
      <w:tr w:rsidR="00D23DE4" w:rsidTr="00137224">
        <w:trPr>
          <w:trHeight w:val="200"/>
        </w:trPr>
        <w:tc>
          <w:tcPr>
            <w:tcW w:w="2977"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Tarih</w:t>
            </w:r>
          </w:p>
        </w:tc>
        <w:tc>
          <w:tcPr>
            <w:tcW w:w="662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4E6DB2">
            <w:r>
              <w:rPr>
                <w:color w:val="000000"/>
                <w:sz w:val="18"/>
                <w:szCs w:val="18"/>
              </w:rPr>
              <w:t xml:space="preserve">11 Ekim 2026</w:t>
            </w:r>
          </w:p>
        </w:tc>
      </w:tr>
      <w:tr w:rsidR="00D23DE4" w:rsidTr="00137224">
        <w:trPr>
          <w:trHeight w:val="200"/>
        </w:trPr>
        <w:tc>
          <w:tcPr>
            <w:tcW w:w="2977"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Sürüm</w:t>
            </w:r>
          </w:p>
        </w:tc>
        <w:tc>
          <w:tcPr>
            <w:tcW w:w="662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4E6DB2" w:rsidP="000A506A">
            <w:r>
              <w:rPr>
                <w:color w:val="000000"/>
                <w:sz w:val="18"/>
                <w:szCs w:val="18"/>
              </w:rPr>
              <w:t xml:space="preserve">v1.5 (iç çalışma v15)</w:t>
            </w:r>
            <w:r w:rsidR="00EF56A4">
              <w:rPr>
                <w:color w:val="000000"/>
                <w:sz w:val="18"/>
                <w:szCs w:val="18"/>
              </w:rPr>
              <w:t xml:space="preserve"/>
            </w:r>
            <w:r w:rsidR="000A506A">
              <w:rPr>
                <w:color w:val="000000"/>
                <w:sz w:val="18"/>
                <w:szCs w:val="18"/>
              </w:rPr>
              <w:t xml:space="preserve"/>
            </w:r>
            <w:r w:rsidR="00EF56A4">
              <w:rPr>
                <w:color w:val="000000"/>
                <w:sz w:val="18"/>
                <w:szCs w:val="18"/>
              </w:rPr>
              <w:t xml:space="preserve"/>
            </w:r>
          </w:p>
        </w:tc>
      </w:tr>
      <w:tr w:rsidR="00D23DE4" w:rsidTr="00137224">
        <w:trPr>
          <w:trHeight w:val="200"/>
        </w:trPr>
        <w:tc>
          <w:tcPr>
            <w:tcW w:w="2977"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Eşlik eden</w:t>
            </w:r>
            <w:r w:rsidR="00137224">
              <w:rPr>
                <w:b/>
                <w:bCs/>
                <w:color w:val="000000"/>
                <w:sz w:val="18"/>
                <w:szCs w:val="18"/>
              </w:rPr>
              <w:t xml:space="preserve"> birincil</w:t>
            </w:r>
            <w:r>
              <w:rPr>
                <w:b/>
                <w:bCs/>
                <w:color w:val="000000"/>
                <w:sz w:val="18"/>
                <w:szCs w:val="18"/>
              </w:rPr>
              <w:t xml:space="preserve"> dosya</w:t>
            </w:r>
          </w:p>
        </w:tc>
        <w:tc>
          <w:tcPr>
            <w:tcW w:w="662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Amator_Telsizcilik_Tablo_A_Mevzuat_Envanteri_v1.5.xlsx</w:t>
            </w:r>
            <w:r w:rsidR="004E6DB2">
              <w:rPr>
                <w:color w:val="000000"/>
                <w:sz w:val="18"/>
                <w:szCs w:val="18"/>
              </w:rPr>
              <w:t xml:space="preserve"/>
            </w:r>
            <w:r>
              <w:rPr>
                <w:color w:val="000000"/>
                <w:sz w:val="18"/>
                <w:szCs w:val="18"/>
              </w:rPr>
              <w:t xml:space="preserve"/>
            </w:r>
          </w:p>
        </w:tc>
      </w:tr>
      <w:tr w:rsidR="000A506A" w:rsidTr="00137224">
        <w:trPr>
          <w:trHeight w:val="1543"/>
        </w:trPr>
        <w:tc>
          <w:tcPr>
            <w:tcW w:w="9597" w:type="dxa"/>
            <w:gridSpan w:val="2"/>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459B9" w:rsidRDefault="00137224" w:rsidP="00137224">
            <w:pPr>
              <w:spacing w:before="240"/>
              <w:jc w:val="center"/>
              <w:rPr>
                <w:i/>
                <w:iCs/>
                <w:color w:val="777777"/>
                <w:sz w:val="16"/>
                <w:szCs w:val="16"/>
              </w:rPr>
            </w:pPr>
            <w:r>
              <w:rPr>
                <w:b/>
                <w:i/>
                <w:iCs/>
                <w:color w:val="777777"/>
                <w:sz w:val="16"/>
                <w:szCs w:val="16"/>
              </w:rPr>
              <w:t>Tüm d</w:t>
            </w:r>
            <w:r w:rsidR="00D459B9" w:rsidRPr="00137224">
              <w:rPr>
                <w:b/>
                <w:i/>
                <w:iCs/>
                <w:color w:val="777777"/>
                <w:sz w:val="16"/>
                <w:szCs w:val="16"/>
              </w:rPr>
              <w:t xml:space="preserve">osya </w:t>
            </w:r>
            <w:r>
              <w:rPr>
                <w:b/>
                <w:i/>
                <w:iCs/>
                <w:color w:val="777777"/>
                <w:sz w:val="16"/>
                <w:szCs w:val="16"/>
              </w:rPr>
              <w:t>e</w:t>
            </w:r>
            <w:r w:rsidR="00D459B9" w:rsidRPr="00137224">
              <w:rPr>
                <w:b/>
                <w:i/>
                <w:iCs/>
                <w:color w:val="777777"/>
                <w:sz w:val="16"/>
                <w:szCs w:val="16"/>
              </w:rPr>
              <w:t>kleri:</w:t>
            </w:r>
            <w:r w:rsidR="00D459B9">
              <w:rPr>
                <w:i/>
                <w:iCs/>
                <w:color w:val="777777"/>
                <w:sz w:val="16"/>
                <w:szCs w:val="16"/>
              </w:rPr>
              <w:br/>
            </w:r>
            <w:r w:rsidRPr="00137224">
              <w:rPr>
                <w:i/>
                <w:iCs/>
                <w:color w:val="777777"/>
                <w:sz w:val="16"/>
                <w:szCs w:val="16"/>
              </w:rPr>
              <w:t>Türkiye Mevzuat Analizi ve Talep Çalışması</w:t>
            </w:r>
            <w:r>
              <w:rPr>
                <w:i/>
                <w:iCs/>
                <w:color w:val="777777"/>
                <w:sz w:val="16"/>
                <w:szCs w:val="16"/>
              </w:rPr>
              <w:t xml:space="preserve"> Web Sayfası</w:t>
            </w:r>
            <w:r>
              <w:rPr>
                <w:i/>
                <w:iCs/>
                <w:color w:val="777777"/>
                <w:sz w:val="16"/>
                <w:szCs w:val="16"/>
              </w:rPr>
              <w:br/>
            </w:r>
            <w:r w:rsidR="00D459B9" w:rsidRPr="00D459B9">
              <w:rPr>
                <w:i/>
                <w:iCs/>
                <w:color w:val="777777"/>
                <w:sz w:val="16"/>
                <w:szCs w:val="16"/>
              </w:rPr>
              <w:t>Amator</w:t>
            </w:r>
            <w:r w:rsidR="00D459B9">
              <w:rPr>
                <w:i/>
                <w:iCs/>
                <w:color w:val="777777"/>
                <w:sz w:val="16"/>
                <w:szCs w:val="16"/>
              </w:rPr>
              <w:t xml:space="preserve"> </w:t>
            </w:r>
            <w:r w:rsidR="00D459B9" w:rsidRPr="00D459B9">
              <w:rPr>
                <w:i/>
                <w:iCs/>
                <w:color w:val="777777"/>
                <w:sz w:val="16"/>
                <w:szCs w:val="16"/>
              </w:rPr>
              <w:t>Telsizcilik</w:t>
            </w:r>
            <w:r w:rsidR="00D459B9">
              <w:rPr>
                <w:i/>
                <w:iCs/>
                <w:color w:val="777777"/>
                <w:sz w:val="16"/>
                <w:szCs w:val="16"/>
              </w:rPr>
              <w:t xml:space="preserve"> </w:t>
            </w:r>
            <w:r w:rsidR="00D459B9" w:rsidRPr="00D459B9">
              <w:rPr>
                <w:i/>
                <w:iCs/>
                <w:color w:val="777777"/>
                <w:sz w:val="16"/>
                <w:szCs w:val="16"/>
              </w:rPr>
              <w:t>Tablo</w:t>
            </w:r>
            <w:r w:rsidR="00D459B9">
              <w:rPr>
                <w:i/>
                <w:iCs/>
                <w:color w:val="777777"/>
                <w:sz w:val="16"/>
                <w:szCs w:val="16"/>
              </w:rPr>
              <w:t xml:space="preserve"> </w:t>
            </w:r>
            <w:r w:rsidR="00D459B9" w:rsidRPr="00D459B9">
              <w:rPr>
                <w:i/>
                <w:iCs/>
                <w:color w:val="777777"/>
                <w:sz w:val="16"/>
                <w:szCs w:val="16"/>
              </w:rPr>
              <w:t>A</w:t>
            </w:r>
            <w:r w:rsidR="00D459B9">
              <w:rPr>
                <w:i/>
                <w:iCs/>
                <w:color w:val="777777"/>
                <w:sz w:val="16"/>
                <w:szCs w:val="16"/>
              </w:rPr>
              <w:t xml:space="preserve"> </w:t>
            </w:r>
            <w:r w:rsidR="00D459B9" w:rsidRPr="00D459B9">
              <w:rPr>
                <w:i/>
                <w:iCs/>
                <w:color w:val="777777"/>
                <w:sz w:val="16"/>
                <w:szCs w:val="16"/>
              </w:rPr>
              <w:t>Mevzuat</w:t>
            </w:r>
            <w:r w:rsidR="00D459B9">
              <w:rPr>
                <w:i/>
                <w:iCs/>
                <w:color w:val="777777"/>
                <w:sz w:val="16"/>
                <w:szCs w:val="16"/>
              </w:rPr>
              <w:t xml:space="preserve"> </w:t>
            </w:r>
            <w:r w:rsidR="00D459B9" w:rsidRPr="00D459B9">
              <w:rPr>
                <w:i/>
                <w:iCs/>
                <w:color w:val="777777"/>
                <w:sz w:val="16"/>
                <w:szCs w:val="16"/>
              </w:rPr>
              <w:t>Envanteri</w:t>
            </w:r>
            <w:r w:rsidR="00D459B9">
              <w:rPr>
                <w:i/>
                <w:iCs/>
                <w:color w:val="777777"/>
                <w:sz w:val="16"/>
                <w:szCs w:val="16"/>
              </w:rPr>
              <w:t xml:space="preserve"> (Excel)</w:t>
            </w:r>
            <w:r>
              <w:rPr>
                <w:i/>
                <w:iCs/>
                <w:color w:val="777777"/>
                <w:sz w:val="16"/>
                <w:szCs w:val="16"/>
              </w:rPr>
              <w:br/>
            </w:r>
            <w:r w:rsidR="00D459B9">
              <w:rPr>
                <w:i/>
                <w:iCs/>
                <w:color w:val="777777"/>
                <w:sz w:val="16"/>
                <w:szCs w:val="16"/>
              </w:rPr>
              <w:t>Türk Amatör Telsizciliği Gri Alan ve Mevzuat Uzlaşı Oy Pusulası (Word)</w:t>
            </w:r>
            <w:r>
              <w:rPr>
                <w:i/>
                <w:iCs/>
                <w:color w:val="777777"/>
                <w:sz w:val="16"/>
                <w:szCs w:val="16"/>
              </w:rPr>
              <w:br/>
            </w:r>
            <w:r w:rsidR="00760C22">
              <w:rPr>
                <w:i/>
                <w:iCs/>
                <w:color w:val="777777"/>
                <w:sz w:val="16"/>
                <w:szCs w:val="16"/>
              </w:rPr>
              <w:t>Türk Amatör Telsizciliği Gri Alan ve Mevzuat Uzlaşı Oy Pusulası (Powerpoint)</w:t>
            </w:r>
            <w:r w:rsidR="00760C22">
              <w:rPr>
                <w:i/>
                <w:iCs/>
                <w:color w:val="777777"/>
                <w:sz w:val="16"/>
                <w:szCs w:val="16"/>
              </w:rPr>
              <w:br/>
            </w:r>
            <w:r>
              <w:rPr>
                <w:i/>
                <w:iCs/>
                <w:color w:val="777777"/>
                <w:sz w:val="16"/>
                <w:szCs w:val="16"/>
              </w:rPr>
              <w:t xml:space="preserve">Amatör </w:t>
            </w:r>
            <w:r w:rsidRPr="00137224">
              <w:rPr>
                <w:i/>
                <w:iCs/>
                <w:color w:val="777777"/>
                <w:sz w:val="16"/>
                <w:szCs w:val="16"/>
              </w:rPr>
              <w:t>Telsizcilik</w:t>
            </w:r>
            <w:r>
              <w:rPr>
                <w:i/>
                <w:iCs/>
                <w:color w:val="777777"/>
                <w:sz w:val="16"/>
                <w:szCs w:val="16"/>
              </w:rPr>
              <w:t xml:space="preserve"> </w:t>
            </w:r>
            <w:r w:rsidRPr="00137224">
              <w:rPr>
                <w:i/>
                <w:iCs/>
                <w:color w:val="777777"/>
                <w:sz w:val="16"/>
                <w:szCs w:val="16"/>
              </w:rPr>
              <w:t>Tablo</w:t>
            </w:r>
            <w:r>
              <w:rPr>
                <w:i/>
                <w:iCs/>
                <w:color w:val="777777"/>
                <w:sz w:val="16"/>
                <w:szCs w:val="16"/>
              </w:rPr>
              <w:t xml:space="preserve"> </w:t>
            </w:r>
            <w:r w:rsidRPr="00137224">
              <w:rPr>
                <w:i/>
                <w:iCs/>
                <w:color w:val="777777"/>
                <w:sz w:val="16"/>
                <w:szCs w:val="16"/>
              </w:rPr>
              <w:t>B</w:t>
            </w:r>
            <w:r>
              <w:rPr>
                <w:i/>
                <w:iCs/>
                <w:color w:val="777777"/>
                <w:sz w:val="16"/>
                <w:szCs w:val="16"/>
              </w:rPr>
              <w:t xml:space="preserve"> </w:t>
            </w:r>
            <w:r w:rsidRPr="00137224">
              <w:rPr>
                <w:i/>
                <w:iCs/>
                <w:color w:val="777777"/>
                <w:sz w:val="16"/>
                <w:szCs w:val="16"/>
              </w:rPr>
              <w:t>Kurum</w:t>
            </w:r>
            <w:r>
              <w:rPr>
                <w:i/>
                <w:iCs/>
                <w:color w:val="777777"/>
                <w:sz w:val="16"/>
                <w:szCs w:val="16"/>
              </w:rPr>
              <w:t xml:space="preserve"> </w:t>
            </w:r>
            <w:r w:rsidRPr="00137224">
              <w:rPr>
                <w:i/>
                <w:iCs/>
                <w:color w:val="777777"/>
                <w:sz w:val="16"/>
                <w:szCs w:val="16"/>
              </w:rPr>
              <w:t>Talep</w:t>
            </w:r>
            <w:r>
              <w:rPr>
                <w:i/>
                <w:iCs/>
                <w:color w:val="777777"/>
                <w:sz w:val="16"/>
                <w:szCs w:val="16"/>
              </w:rPr>
              <w:t xml:space="preserve"> </w:t>
            </w:r>
            <w:r w:rsidRPr="00137224">
              <w:rPr>
                <w:i/>
                <w:iCs/>
                <w:color w:val="777777"/>
                <w:sz w:val="16"/>
                <w:szCs w:val="16"/>
              </w:rPr>
              <w:t>Yazilari</w:t>
            </w:r>
            <w:r>
              <w:rPr>
                <w:i/>
                <w:iCs/>
                <w:color w:val="777777"/>
                <w:sz w:val="16"/>
                <w:szCs w:val="16"/>
              </w:rPr>
              <w:t xml:space="preserve"> </w:t>
            </w:r>
            <w:r w:rsidRPr="00137224">
              <w:rPr>
                <w:i/>
                <w:iCs/>
                <w:color w:val="777777"/>
                <w:sz w:val="16"/>
                <w:szCs w:val="16"/>
              </w:rPr>
              <w:t>Taslak</w:t>
            </w:r>
            <w:r>
              <w:rPr>
                <w:i/>
                <w:iCs/>
                <w:color w:val="777777"/>
                <w:sz w:val="16"/>
                <w:szCs w:val="16"/>
              </w:rPr>
              <w:t xml:space="preserve"> (Word)</w:t>
            </w:r>
            <w:r>
              <w:rPr>
                <w:i/>
                <w:iCs/>
                <w:color w:val="777777"/>
                <w:sz w:val="16"/>
                <w:szCs w:val="16"/>
              </w:rPr>
              <w:br/>
            </w:r>
            <w:r w:rsidRPr="00137224">
              <w:rPr>
                <w:i/>
                <w:iCs/>
                <w:color w:val="777777"/>
                <w:sz w:val="16"/>
                <w:szCs w:val="16"/>
              </w:rPr>
              <w:t>Resmi</w:t>
            </w:r>
            <w:r>
              <w:rPr>
                <w:i/>
                <w:iCs/>
                <w:color w:val="777777"/>
                <w:sz w:val="16"/>
                <w:szCs w:val="16"/>
              </w:rPr>
              <w:t xml:space="preserve"> </w:t>
            </w:r>
            <w:r w:rsidRPr="00137224">
              <w:rPr>
                <w:i/>
                <w:iCs/>
                <w:color w:val="777777"/>
                <w:sz w:val="16"/>
                <w:szCs w:val="16"/>
              </w:rPr>
              <w:t>Kaynaklar</w:t>
            </w:r>
            <w:r>
              <w:rPr>
                <w:i/>
                <w:iCs/>
                <w:color w:val="777777"/>
                <w:sz w:val="16"/>
                <w:szCs w:val="16"/>
              </w:rPr>
              <w:t xml:space="preserve"> </w:t>
            </w:r>
            <w:r w:rsidRPr="00137224">
              <w:rPr>
                <w:i/>
                <w:iCs/>
                <w:color w:val="777777"/>
                <w:sz w:val="16"/>
                <w:szCs w:val="16"/>
              </w:rPr>
              <w:t>Linkler</w:t>
            </w:r>
            <w:r>
              <w:rPr>
                <w:i/>
                <w:iCs/>
                <w:color w:val="777777"/>
                <w:sz w:val="16"/>
                <w:szCs w:val="16"/>
              </w:rPr>
              <w:t xml:space="preserve"> (.MD)</w:t>
            </w:r>
          </w:p>
          <w:p w:rsidR="000A506A" w:rsidRPr="000A506A" w:rsidRDefault="000A506A" w:rsidP="000A506A">
            <w:pPr>
              <w:spacing w:before="240"/>
              <w:jc w:val="center"/>
              <w:rPr>
                <w:i/>
                <w:iCs/>
                <w:color w:val="777777"/>
                <w:sz w:val="16"/>
                <w:szCs w:val="16"/>
              </w:rPr>
            </w:pPr>
            <w:r>
              <w:rPr>
                <w:i/>
                <w:iCs/>
                <w:color w:val="777777"/>
                <w:sz w:val="16"/>
                <w:szCs w:val="16"/>
              </w:rPr>
              <w:t>Bu belge amatör telsiz dernek ve kulüpleri ve amatör telsizcilik camia yararına hazırlanmıştır. Tüm referanslar doğrudan birincil kaynaklara dayanmaktadır.</w:t>
            </w:r>
          </w:p>
        </w:tc>
      </w:tr>
    </w:tbl>
    <w:p w:rsidR="00D23DE4" w:rsidRDefault="00D23DE4">
      <w:pPr>
        <w:spacing w:before="480"/>
      </w:pPr>
    </w:p>
    <w:p w:rsidR="00D23DE4" w:rsidRDefault="00EF56A4">
      <w:r>
        <w:br w:type="page"/>
      </w:r>
    </w:p>
    <w:p w:rsidR="00D23DE4" w:rsidRDefault="00EF56A4">
      <w:pPr>
        <w:pStyle w:val="Heading10"/>
        <w:pBdr>
          <w:bottom w:val="single" w:sz="6" w:space="4" w:color="2E75B6"/>
        </w:pBdr>
      </w:pPr>
      <w:r>
        <w:lastRenderedPageBreak/>
        <w:t>1. Mevzuat Haritası</w:t>
      </w:r>
    </w:p>
    <w:p w:rsidR="00D23DE4" w:rsidRDefault="00EF56A4" w:rsidP="000A506A">
      <w:pPr>
        <w:spacing w:before="80" w:after="120"/>
      </w:pPr>
      <w:r>
        <w:t>Türkiye'de amatör telsizcilik (amatör radyoculuk) tek bir kanun veya yönetmelikle düzenlenmemektedir. Haklar ve yükümlülükler birbirine atıf yapan dağınık mevzuattan derlenmek zorundadır.</w:t>
      </w:r>
    </w:p>
    <w:p w:rsidR="00D23DE4" w:rsidRDefault="00EF56A4">
      <w:pPr>
        <w:pStyle w:val="Heading20"/>
      </w:pPr>
      <w:r>
        <w:t xml:space="preserve">1.1 Temel </w:t>
      </w:r>
      <w:r w:rsidR="00760C22">
        <w:t>“</w:t>
      </w:r>
      <w:r>
        <w:t>Ruhsatsız</w:t>
      </w:r>
      <w:r w:rsidR="00760C22">
        <w:t>”</w:t>
      </w:r>
      <w:r>
        <w:t xml:space="preserve"> Kullanım Zinciri</w:t>
      </w:r>
    </w:p>
    <w:p w:rsidR="00D23DE4" w:rsidRDefault="00EF56A4">
      <w:pPr>
        <w:spacing w:before="80" w:after="120"/>
      </w:pPr>
      <w:r>
        <w:t>Aşağıdaki maddeler birlikte okunarak ruhsatsız amatör telsiz kullanım hakkı tesis edilmektedir:</w:t>
      </w:r>
    </w:p>
    <w:p w:rsidR="00D23DE4" w:rsidRDefault="00EF56A4">
      <w:pPr>
        <w:pStyle w:val="ListeParagraf"/>
        <w:numPr>
          <w:ilvl w:val="0"/>
          <w:numId w:val="2"/>
        </w:numPr>
        <w:spacing w:before="40" w:after="60"/>
      </w:pPr>
      <w:r>
        <w:t>Anayasa Md.22 — Haberleşme hürriyeti</w:t>
      </w:r>
    </w:p>
    <w:p w:rsidR="00D23DE4" w:rsidRDefault="00EF56A4">
      <w:pPr>
        <w:pStyle w:val="ListeParagraf"/>
        <w:numPr>
          <w:ilvl w:val="0"/>
          <w:numId w:val="2"/>
        </w:numPr>
        <w:spacing w:before="40" w:after="60"/>
      </w:pPr>
      <w:r>
        <w:t>5809 EHK Md.37/3 — Ruhsatsız kullanım hakkı (RG: 27050 Mükerrer, 10.11.2008)</w:t>
      </w:r>
    </w:p>
    <w:p w:rsidR="00D23DE4" w:rsidRDefault="00EF56A4">
      <w:pPr>
        <w:pStyle w:val="ListeParagraf"/>
        <w:numPr>
          <w:ilvl w:val="0"/>
          <w:numId w:val="2"/>
        </w:numPr>
        <w:spacing w:before="40" w:after="60"/>
      </w:pPr>
      <w:r>
        <w:t>Spektrum Yönetimi Yönetmeliği Md.7/1 ve 8/1 — Tahsis/tescil muafiyeti (RG: 27276, 02.07.2009)</w:t>
      </w:r>
    </w:p>
    <w:p w:rsidR="00D23DE4" w:rsidRDefault="00EF56A4">
      <w:pPr>
        <w:pStyle w:val="ListeParagraf"/>
        <w:numPr>
          <w:ilvl w:val="0"/>
          <w:numId w:val="2"/>
        </w:numPr>
        <w:spacing w:before="40" w:after="60"/>
      </w:pPr>
      <w:r>
        <w:t>Telsiz Yönetmeliği Md.2/4 — Yönetmelik kapsamı dışı (RG: 27291, 17.07.2009)</w:t>
      </w:r>
    </w:p>
    <w:p w:rsidR="00D23DE4" w:rsidRDefault="00EF56A4">
      <w:pPr>
        <w:pStyle w:val="ListeParagraf"/>
        <w:numPr>
          <w:ilvl w:val="0"/>
          <w:numId w:val="2"/>
        </w:numPr>
        <w:spacing w:before="40" w:after="60"/>
      </w:pPr>
      <w:r>
        <w:t>FTM Yönetmeliği Md.1-2 + Tablo 25 — Muafiyet kapsamı ve teknik ölçütler (RG: 30608, 27.11.2018)</w:t>
      </w:r>
    </w:p>
    <w:p w:rsidR="00D23DE4" w:rsidRDefault="00EF56A4">
      <w:pPr>
        <w:pStyle w:val="ListeParagraf"/>
        <w:numPr>
          <w:ilvl w:val="0"/>
          <w:numId w:val="2"/>
        </w:numPr>
        <w:spacing w:before="40" w:after="60"/>
      </w:pPr>
      <w:r>
        <w:t>KEGM Sınav Yönetmeliği Md.4/1e — Amatör istasyon tanımı (RG: 27482, 03.02.2010)</w:t>
      </w:r>
    </w:p>
    <w:p w:rsidR="00D23DE4" w:rsidRDefault="00D23DE4">
      <w:pPr>
        <w:spacing w:before="12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Kritik Boşluk</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2004 yılında yayımlanan (RG 25406, 18.03.2004) ve 18.07.2009 tarihli Özel Telsiz Sistemleri Yönetmeliğinin (RG 27292) 6 ncı maddesiyle yürürlükten kaldırılan Amatör Telsizcilik Yönetmeliği'nin yerine geçen kapsamlı bir yönetmelik çıkarılmamıştır. Haklar yedi ayrı mevzuattan derlenmek zorundadır.</w:t>
            </w:r>
          </w:p>
        </w:tc>
      </w:tr>
    </w:tbl>
    <w:p w:rsidR="00D23DE4" w:rsidRDefault="00D23DE4">
      <w:pPr>
        <w:spacing w:before="200"/>
      </w:pPr>
    </w:p>
    <w:p w:rsidR="00245ED4" w:rsidRDefault="00310E17">
      <w:r>
        <w:t>Aşağıdaki iki şekil, bu haritayı bir bakışta özetler: bugünkü dağınık derleme zinciri ve GA-1 talebiyle hedeflenen tek çatı yapı. Kesikli çizgiler, doğrudan iç hukuk olmayan uluslararası çerçeveyi gösterir.</w:t>
      </w:r>
    </w:p>
    <w:p w:rsidR="00245ED4" w:rsidRDefault="00310E17">
      <w:pPr>
        <w:jc w:val="center"/>
      </w:pPr>
      <w:r>
        <w:rPr>
          <w:noProof/>
        </w:rPr>
        <w:drawing>
          <wp:inline distT="0" distB="0" distL="0" distR="0">
            <wp:extent cx="5096469" cy="5006532"/>
            <wp:effectExtent l="171450" t="133350" r="370881" b="30841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kil1_bugun.png"/>
                    <pic:cNvPicPr/>
                  </pic:nvPicPr>
                  <pic:blipFill>
                    <a:blip r:embed="rId7"/>
                    <a:stretch>
                      <a:fillRect/>
                    </a:stretch>
                  </pic:blipFill>
                  <pic:spPr>
                    <a:xfrm>
                      <a:off x="0" y="0"/>
                      <a:ext cx="5101894" cy="5011862"/>
                    </a:xfrm>
                    <a:prstGeom prst="rect">
                      <a:avLst/>
                    </a:prstGeom>
                    <a:ln>
                      <a:noFill/>
                    </a:ln>
                    <a:effectLst>
                      <a:outerShdw blurRad="292100" dist="139700" dir="2700000" algn="tl" rotWithShape="0">
                        <a:srgbClr val="333333">
                          <a:alpha val="65000"/>
                        </a:srgbClr>
                      </a:outerShdw>
                    </a:effectLst>
                  </pic:spPr>
                </pic:pic>
              </a:graphicData>
            </a:graphic>
          </wp:inline>
        </w:drawing>
      </w:r>
    </w:p>
    <w:p w:rsidR="00245ED4" w:rsidRDefault="00310E17">
      <w:pPr>
        <w:jc w:val="center"/>
      </w:pPr>
      <w:r>
        <w:rPr>
          <w:i/>
          <w:sz w:val="18"/>
        </w:rPr>
        <w:t>Şekil 1 — Bugünkü hiyerarşi: haklar en az yedi ayrı mevzuattan derleniyor; mülga düzenlemelerin gölgesi sürüyor.</w:t>
      </w:r>
    </w:p>
    <w:p w:rsidR="00245ED4" w:rsidRDefault="00310E17">
      <w:pPr>
        <w:jc w:val="center"/>
      </w:pPr>
      <w:r>
        <w:rPr>
          <w:noProof/>
        </w:rPr>
        <w:lastRenderedPageBreak/>
        <w:drawing>
          <wp:inline distT="0" distB="0" distL="0" distR="0">
            <wp:extent cx="5565814" cy="3912439"/>
            <wp:effectExtent l="171450" t="133350" r="358736" b="297611"/>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kil2_hedef.png"/>
                    <pic:cNvPicPr/>
                  </pic:nvPicPr>
                  <pic:blipFill>
                    <a:blip r:embed="rId8"/>
                    <a:stretch>
                      <a:fillRect/>
                    </a:stretch>
                  </pic:blipFill>
                  <pic:spPr>
                    <a:xfrm>
                      <a:off x="0" y="0"/>
                      <a:ext cx="5585358" cy="3926177"/>
                    </a:xfrm>
                    <a:prstGeom prst="rect">
                      <a:avLst/>
                    </a:prstGeom>
                    <a:ln>
                      <a:noFill/>
                    </a:ln>
                    <a:effectLst>
                      <a:outerShdw blurRad="292100" dist="139700" dir="2700000" algn="tl" rotWithShape="0">
                        <a:srgbClr val="333333">
                          <a:alpha val="65000"/>
                        </a:srgbClr>
                      </a:outerShdw>
                    </a:effectLst>
                  </pic:spPr>
                </pic:pic>
              </a:graphicData>
            </a:graphic>
          </wp:inline>
        </w:drawing>
      </w:r>
    </w:p>
    <w:p w:rsidR="00245ED4" w:rsidRDefault="00310E17">
      <w:pPr>
        <w:jc w:val="center"/>
      </w:pPr>
      <w:r>
        <w:rPr>
          <w:i/>
          <w:sz w:val="18"/>
        </w:rPr>
        <w:t>Şekil 2 — Hedef: mevcut anayasal ve yasal dayanak üzerine kurulan kapsamlı tek amatör telsizcilik yönetmeliği (GA-1).</w:t>
      </w:r>
    </w:p>
    <w:p w:rsidR="000A506A" w:rsidRDefault="000A506A">
      <w:pPr>
        <w:rPr>
          <w:b/>
          <w:bCs/>
          <w:color w:val="1F4E79"/>
          <w:sz w:val="28"/>
          <w:szCs w:val="28"/>
        </w:rPr>
      </w:pPr>
      <w:r>
        <w:br w:type="page"/>
      </w:r>
    </w:p>
    <w:p w:rsidR="00D23DE4" w:rsidRDefault="00EF56A4">
      <w:pPr>
        <w:pStyle w:val="Heading10"/>
        <w:pBdr>
          <w:bottom w:val="single" w:sz="6" w:space="4" w:color="2E75B6"/>
        </w:pBdr>
      </w:pPr>
      <w:r>
        <w:lastRenderedPageBreak/>
        <w:t>2. IARU / CEPT Önerileri — TR'de Karsiliği Olmayanlar</w:t>
      </w:r>
    </w:p>
    <w:p w:rsidR="00D23DE4" w:rsidRDefault="00EF56A4">
      <w:pPr>
        <w:spacing w:before="80" w:after="120"/>
      </w:pPr>
      <w:r>
        <w:t>Bu bölüm, Türkiye'nin CEPT üyesi olması ve IARU'nun bölge üye kuruluştaki (dernek ve kulüpler — IARU Bölge 1 Türkiye üyesi) temsiliyet yükümlülüğü nedeniyle hayata geçirmesi beklenen ancak henüz uygulanmayan belge ve önerileri listeler. Her madde birincil kaynakla referanslanmıştır.</w:t>
      </w:r>
    </w:p>
    <w:p w:rsidR="00D23DE4" w:rsidRDefault="00D23DE4">
      <w:pPr>
        <w:spacing w:before="8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41"/>
        <w:gridCol w:w="2651"/>
        <w:gridCol w:w="2220"/>
        <w:gridCol w:w="3814"/>
      </w:tblGrid>
      <w:tr w:rsidR="00D23DE4">
        <w:tc>
          <w:tcPr>
            <w:tcW w:w="20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D23DE4"/>
        </w:tc>
        <w:tc>
          <w:tcPr>
            <w:tcW w:w="300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Belge</w:t>
            </w:r>
          </w:p>
        </w:tc>
        <w:tc>
          <w:tcPr>
            <w:tcW w:w="250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TR Durumu</w:t>
            </w:r>
          </w:p>
        </w:tc>
        <w:tc>
          <w:tcPr>
            <w:tcW w:w="3326"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Birincil Kaynak</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1</w:t>
            </w:r>
          </w:p>
        </w:tc>
        <w:tc>
          <w:tcPr>
            <w:tcW w:w="30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 xml:space="preserve">CEPT T/R 61-01 — CEPT Amatör Telsiz Lisansı (18 Ekim 2024 baskısı): CEPT ülkeleri arasında amatörlerin kısa süreli ziyarette bireysel geçici lisans almadan çalışması.</w:t>
            </w:r>
          </w:p>
        </w:tc>
        <w:tc>
          <w:tcPr>
            <w:tcW w:w="25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 xml:space="preserve">KISMÎ UYGULANIYOR — TR taraftır; T/R 61-01 Ek 2 (16 Şubat 2024) Türkiye'nin CEPT lisansına denk ulusal belgesini "A" olarak listeler. B ve C sınıfı bu listede yer almadığından T/R 61-01 kapsamı dışındadır.</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0A506A" w:rsidRPr="000A506A" w:rsidRDefault="00EF56A4">
            <w:pPr>
              <w:rPr>
                <w:color w:val="000000"/>
                <w:sz w:val="18"/>
                <w:szCs w:val="18"/>
              </w:rPr>
            </w:pPr>
            <w:r>
              <w:rPr>
                <w:color w:val="000000"/>
                <w:sz w:val="18"/>
                <w:szCs w:val="18"/>
              </w:rPr>
              <w:t xml:space="preserve">docdb.cept.org/download/4541</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2</w:t>
            </w:r>
          </w:p>
        </w:tc>
        <w:tc>
          <w:tcPr>
            <w:tcW w:w="30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 xml:space="preserve">CEPT T/R 61-02 — HAREC (Harmonised Amateur Radio Examination Certificate, 16 Şubat 2024 baskısı): Sınav başarısını belgeleyen harmonize sertifika; uzun süreli ikamette karşılıklı lisansı kolaylaştırır.</w:t>
            </w:r>
          </w:p>
        </w:tc>
        <w:tc>
          <w:tcPr>
            <w:tcW w:w="25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 xml:space="preserve">UYGULANIYOR — T/R 61-02 Ek 2 (16 Şubat 2024) Türkiye'nin HAREC'e karşılık gelen ulusal belgesini "B" olarak listeler. KEGM'nin yalnızca A sınıfına "HAREC DOCUMENT" düzenlediği ifadesi birincil kaynakla doğrulanamamıştır (iddia); dört dil şartı T/R 61-02 Ek 1 §3'ün genel kuralıdır. T/R 61-01 Ek 2'nin Türkiye için A, T/R 61-02 Ek 2'nin B göstermesi ayrıca açıklığa kavuşturulmalıdır.</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docdb.cept.org/download/4424</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3</w:t>
            </w:r>
          </w:p>
        </w:tc>
        <w:tc>
          <w:tcPr>
            <w:tcW w:w="30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ECC Recommendation (05)06 — CEPT Novice (Giriş Seviyesi) Lisans: Sınırlı bantlarda harmonize giriş lisans çerçevesi.</w:t>
            </w:r>
          </w:p>
        </w:tc>
        <w:tc>
          <w:tcPr>
            <w:tcW w:w="25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KISMI — C sınıfı belge var; ECC (05)06 uyumu teyit edilmemiş.</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docdb.cept.org/download/2768</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4</w:t>
            </w:r>
          </w:p>
        </w:tc>
        <w:tc>
          <w:tcPr>
            <w:tcW w:w="30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IARU R1 HF Band Plan: FT8, JS8Call, WSPR, Winlink için frekans segmentleri tanımlı.</w:t>
            </w:r>
          </w:p>
        </w:tc>
        <w:tc>
          <w:tcPr>
            <w:tcW w:w="25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 xml:space="preserve">EKSIK UYUM — BTK TAD (2018) bu modları emisyon tipi olarak listelemiyor.</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iaru-r1.org/wp-content/uploads/2019/08/hf_r1_bandplan.pdf</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5</w:t>
            </w:r>
          </w:p>
        </w:tc>
        <w:tc>
          <w:tcPr>
            <w:tcW w:w="30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 xml:space="preserve">IARU ETG (Emergency Telecommunications Guide): Ulusal afet kurumlarıyla MOU çerçevesi. Türkçe baskısı tespit edilemedi; IARU R1 sitesinde Türkçe olarak yalnızca kısa HF Acil Durum Haberleşme Prosedürü bulunmaktadır.</w:t>
            </w:r>
          </w:p>
        </w:tc>
        <w:tc>
          <w:tcPr>
            <w:tcW w:w="25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KISMÎ — TRAC, afet haberleşme grubu planı yazışmalarında ismen 'çözüm ortağı'; ancak görev içeriği kamuya açık değil, bireysel amatör tanımsız.</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iaru-r1.org/on-the-air/emergency-communications/</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6</w:t>
            </w:r>
          </w:p>
        </w:tc>
        <w:tc>
          <w:tcPr>
            <w:tcW w:w="30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WRC-23 23cm Dipnotu (1 Ocak 2025 yürürlük): RNSS ile birlikte yaşam kılavuzu.</w:t>
            </w:r>
          </w:p>
        </w:tc>
        <w:tc>
          <w:tcPr>
            <w:tcW w:w="25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 xml:space="preserve">EKSIK — BTK MFP ve TAD (2018) bu dipnotu henüz yansıtmıyor.</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iaru-r1.org/2023/wrc-23-outcome/</w:t>
            </w:r>
          </w:p>
        </w:tc>
      </w:tr>
      <w:tr w:rsidR="00D23DE4">
        <w:tc>
          <w:tcPr>
            <w:tcW w:w="200"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b/>
                <w:bCs/>
                <w:color w:val="000000"/>
                <w:sz w:val="18"/>
                <w:szCs w:val="18"/>
              </w:rPr>
              <w:t>7</w:t>
            </w:r>
          </w:p>
        </w:tc>
        <w:tc>
          <w:tcPr>
            <w:tcW w:w="30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ITU-RR Md.25 §25.2A (WRC-03): Kodlama yasağı 'anlam gizleme amacı' testiyle sınırlandırıldı; açık protokoller (FT8, Winlink) kapsam dışında.</w:t>
            </w:r>
          </w:p>
        </w:tc>
        <w:tc>
          <w:tcPr>
            <w:tcW w:w="2500"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 xml:space="preserve">EKSIK YANSIMA — TAD (2018) ve FTM Tablo 25 bu ayrımı yapmamaktadır.</w:t>
            </w:r>
          </w:p>
        </w:tc>
        <w:tc>
          <w:tcPr>
            <w:tcW w:w="33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oz5bir.dk/wp-content/uploads/2018/10/ITU-Artikel-25.pdf</w:t>
            </w:r>
          </w:p>
        </w:tc>
      </w:tr>
    </w:tbl>
    <w:p w:rsidR="00D23DE4" w:rsidRDefault="00D23DE4">
      <w:pPr>
        <w:spacing w:before="200"/>
      </w:pPr>
    </w:p>
    <w:p w:rsidR="00D23DE4" w:rsidRDefault="00EF56A4">
      <w:r>
        <w:br w:type="page"/>
      </w:r>
    </w:p>
    <w:p w:rsidR="00D23DE4" w:rsidRDefault="00EF56A4">
      <w:pPr>
        <w:pStyle w:val="Heading10"/>
        <w:pBdr>
          <w:bottom w:val="single" w:sz="6" w:space="4" w:color="2E75B6"/>
        </w:pBdr>
      </w:pPr>
      <w:r>
        <w:lastRenderedPageBreak/>
        <w:t>3. Gri Alanlar</w:t>
      </w:r>
    </w:p>
    <w:p w:rsidR="00D23DE4" w:rsidRDefault="00EF56A4">
      <w:pPr>
        <w:spacing w:before="80" w:after="120"/>
      </w:pPr>
      <w:r>
        <w:t>Her gri alan için: sorun özeti, TR mevzuatı referansı, IARU/CEPT karşıtlığı, diğer ülke örnekleri ve talep önerisi birincil kaynaklarla sunulmuştur.</w:t>
      </w:r>
    </w:p>
    <w:p w:rsidR="00D23DE4" w:rsidRDefault="00D23DE4">
      <w:pPr>
        <w:spacing w:before="80"/>
      </w:pPr>
    </w:p>
    <w:p w:rsidR="00D23DE4" w:rsidRDefault="00EF56A4">
      <w:pPr>
        <w:pStyle w:val="Heading30"/>
      </w:pPr>
      <w:r>
        <w:t>GA-1 — Özel Amatör Telsizcilik Yönetmeliği Eksikliği</w:t>
      </w:r>
    </w:p>
    <w:p w:rsidR="00D23DE4" w:rsidRDefault="00EF56A4">
      <w:pPr>
        <w:spacing w:before="80" w:after="120"/>
      </w:pPr>
      <w:r>
        <w:rPr>
          <w:b/>
          <w:bCs/>
        </w:rPr>
        <w:t>Sorun / Belirsizlik:</w:t>
      </w:r>
    </w:p>
    <w:p w:rsidR="00D23DE4" w:rsidRDefault="00EF56A4">
      <w:pPr>
        <w:spacing w:before="80" w:after="120"/>
      </w:pPr>
      <w:r>
        <w:t xml:space="preserve">Telekomünikasyon Kurumu'nca 18.03.2004 tarihli ve 25406 sayılı Resmî Gazete'de yayımlanan Amatör Telsizcilik Yönetmeliği, 18.07.2009 tarihli ve 27292 sayılı Resmî Gazete'de yayımlanan Özel Telsiz Sistemleri Yönetmeliğinin 6 ncı maddesiyle yürürlükten kaldırılmış; yerine geçen kapsamlı bir yönetmelik çıkarılmamıştır. Amatörlerin hakları yedi farklı mevzuattan derlenmek zorundadır.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5809 EHK Md.37/3 (RG 27050, 10.11.2008); Spektrum Yön. Md.7-8 (RG 27276); Telsiz Yön. Md.2/4 (RG 27291); FTM Yön.+Tablo 25 (RG 30608); KEGM Yön. Md.4/1e (RG 27482).</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CEPT/ECC çerçevesi, üye idarelerin amatör telsizciliğe ilişkin ulusal düzenleme yapmasını teşvik eder. IARU: Üye kuruluşlar (dernek ve kulüpler — IARU Bölge 1 TR) ulusal yönetmelik lobi faaliyeti yürütmelidir.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 Amateurfunkverordnung (AFuV) — tek kapsamlı yönetmelik. GB: Wireless Telegraphy Act + Ofcom NoV sistemi. US: FCC Part 97 — bağımsız amatör servis yönetmeliği.</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BTK'dan Talep: Amatör telsizcilik için güncel, kapsamlı ve tek parça yönetmelik (söz. bir 'Part 97 TR') hazırlanması.</w:t>
            </w:r>
          </w:p>
        </w:tc>
      </w:tr>
    </w:tbl>
    <w:p w:rsidR="00D23DE4" w:rsidRDefault="00EF56A4">
      <w:pPr>
        <w:spacing w:before="40" w:after="80"/>
      </w:pPr>
      <w:r>
        <w:rPr>
          <w:b/>
          <w:bCs/>
          <w:color w:val="555555"/>
          <w:sz w:val="17"/>
          <w:szCs w:val="17"/>
        </w:rPr>
        <w:t>Kaynak: Mülga 2004 Yönetmeliği: RG 25406 (18.03.2004); dayanağı 2813 sayılı Telsiz Kanunu (RG 18011).</w:t>
      </w:r>
    </w:p>
    <w:p w:rsidR="00D23DE4" w:rsidRDefault="00D23DE4">
      <w:pPr>
        <w:spacing w:before="120"/>
      </w:pPr>
    </w:p>
    <w:p w:rsidR="00D23DE4" w:rsidRDefault="00EF56A4">
      <w:pPr>
        <w:pStyle w:val="Heading30"/>
      </w:pPr>
      <w:r>
        <w:t>GA-2 — Belge Sınıfları (A/B/C) Arasındaki Hak Tanımlamasının Belirsizliği</w:t>
      </w:r>
    </w:p>
    <w:p w:rsidR="00D23DE4" w:rsidRDefault="00EF56A4">
      <w:pPr>
        <w:spacing w:before="80" w:after="120"/>
      </w:pPr>
      <w:r>
        <w:rPr>
          <w:b/>
          <w:bCs/>
        </w:rPr>
        <w:t>Sorun / Belirsizlik:</w:t>
      </w:r>
    </w:p>
    <w:p w:rsidR="00D23DE4" w:rsidRDefault="00EF56A4">
      <w:pPr>
        <w:spacing w:before="80" w:after="120"/>
      </w:pPr>
      <w:r>
        <w:t xml:space="preserve">A, B ve C sınıfı amatör belgelerinin yetkili frekans bantları ve azami güç değerleri, BTK FTM Teknik Ölçütler (BTK Kurul Kararı 23.09.2022, 2022/İK-SYD/245) Madde 22 ve Tablo 25’inde sınıf sütunlu bir tablo hâlinde yayımlanmıştır. Buna karşılık KEGM Sınav Yönetmeliği, yetki içeriği için doğrudan bu tabloya değil, 27/11/2018’de mülga edilen Özel Telsiz Sistemleri Yönetmeliği’ne atıf yapmayı sürdürmektedir; ayrıca aynı bilgi TAD (2018) ile FTM Teknik Ölçütler arasında bölünmüştür. Sonuç olarak sorun tablonun yokluğu değil, yetki içeriğinin amatörlere özgü ve güncel bir düzenlemede toplanmamış olmasıdır. (Ayrıntı: GA-BAND-1.)</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KEGM Sınav Yönetmeliği (RG 27482): Sınıf tanımı var; yetki içeriği için Md.18 (ayrıca Md.4/1-e, 4/1-ğ ve Md.14) ile mülga Özel Telsiz Sistemleri Yönetmeliği EK-4 Tablo-1’e atıf — atıf zinciri kırık. BTK FTM Teknik Ölçütler (BTK Kurul Kararı 23.09.2022, 2022/İK-SYD/245) Madde 22 ve Tablo 25: sınıf bazlı bant, güç ve emisyon yetkileri “İzin verilen belge sınıfı” sütunuyla yayımlanmıştır; Md.22 §10 uyarınca B ve C sınıfı sorumlu operatör gözetiminde tüm bantları kullanabilir. BTK TAD (2018): 135.7-137.8 kHz ve 472-479 kHz için yalnızca ‘A Sınıfı’; bilgi iki belge arasında dağınıktır.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CEPT T/R 61-01 (18 Ekim 2024 baskısı): tek bir "CEPT lisansı" düzeyi tanımlar; her ülkenin bu düzeye denk ulusal sınıfları Ek 2'de tablo hâlinde yayımlanır (Türkiye: A). Önceki sürümlerde anılan "Tier 1 / Tier 2" ayrımı yürürlükteki baskıda yer almaz; giriş seviyesi lisanslar ayrı bir tavsiye olan ECC/REC/(05)06'nın konusudur. T/R 61-02 (HAREC): sınav müfredatı (Ek 6) ve sınıf denklik tablosu (Ek 2; Türkiye: B) kamuya açıktır.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DE/GB/FR: Her sınıf için yetkili bantlar ve max güç mevzuatın ekinde açık tabloda. US: FCC Part 97.301 — Technician/General/Extra lisans yetkilerini bant bazında tablolar.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BTK/KEGM'den Talep: Her belge sınıfının yetkili frekans bantlarını ve max ERP/PEP değerlerini gösteren resmi tablonun yönetmelik ekine alınması.</w:t>
            </w:r>
          </w:p>
        </w:tc>
      </w:tr>
    </w:tbl>
    <w:p w:rsidR="00D23DE4" w:rsidRDefault="00EF56A4">
      <w:pPr>
        <w:spacing w:before="40" w:after="80"/>
      </w:pPr>
      <w:r>
        <w:rPr>
          <w:b/>
          <w:bCs/>
          <w:color w:val="555555"/>
          <w:sz w:val="17"/>
          <w:szCs w:val="17"/>
        </w:rPr>
        <w:t xml:space="preserve">Kaynak: </w:t>
      </w:r>
      <w:r>
        <w:rPr>
          <w:color w:val="2E75B6"/>
          <w:sz w:val="17"/>
          <w:szCs w:val="17"/>
        </w:rPr>
        <w:t xml:space="preserve">BTK TAD (2018): btk.gov.tr/uploads/pages/amatör-sistemleri-tad.pdf</w:t>
      </w:r>
    </w:p>
    <w:p w:rsidR="00D23DE4" w:rsidRDefault="00D23DE4">
      <w:pPr>
        <w:spacing w:before="120"/>
      </w:pPr>
    </w:p>
    <w:p w:rsidR="000A506A" w:rsidRDefault="000A506A">
      <w:pPr>
        <w:rPr>
          <w:b/>
          <w:bCs/>
          <w:color w:val="404040"/>
          <w:sz w:val="22"/>
          <w:szCs w:val="22"/>
        </w:rPr>
      </w:pPr>
      <w:r>
        <w:br w:type="page"/>
      </w:r>
    </w:p>
    <w:p w:rsidR="00D23DE4" w:rsidRDefault="00EF56A4">
      <w:pPr>
        <w:pStyle w:val="Heading30"/>
      </w:pPr>
      <w:r>
        <w:lastRenderedPageBreak/>
        <w:t>GA-3 — CEPT T/R 61-01/61-02: B/C Sınıfı Yurt Dışı Operasyon Boşluğu ve Farkındalık Eksikliği</w:t>
      </w:r>
    </w:p>
    <w:p w:rsidR="00D23DE4" w:rsidRDefault="00EF56A4">
      <w:pPr>
        <w:spacing w:before="80" w:after="120"/>
      </w:pPr>
      <w:r>
        <w:rPr>
          <w:b/>
          <w:bCs/>
        </w:rPr>
        <w:t>Sorun / Belirsizlik:</w:t>
      </w:r>
    </w:p>
    <w:p w:rsidR="00D23DE4" w:rsidRDefault="00EF56A4">
      <w:pPr>
        <w:spacing w:before="80" w:after="120"/>
      </w:pPr>
      <w:r>
        <w:t xml:space="preserve">Türkiye, CEPT T/R 61-01 (kısa süreli ziyaretlerde bireysel geçici lisans almadan çalışma; süre "geçici kalış" ile sınırlıdır, genel bir gün sınırı yoktur) ve T/R 61-02 (HAREC — Harmonised Amateur Radio Examination Certificate; üç aydan uzun kalışlarda lisans verilmesini kolaylaştırır) tavsiyelerine taraftır. T/R 61-01 Ek 2, Türkiye'nin CEPT lisansına denk ulusal belgesini "A" olarak; T/R 61-02 Ek 2 ise HAREC'e karşılık gelen ulusal belgeyi "B" olarak listeler (her iki ek 16 Şubat 2024 tarihlidir). Önceki sürümlerde yer alan "KEGM yalnızca A sınıfına dört dilde HAREC DOCUMENT düzenler" ve "B/C sınıfının HAREC muadili yoktur" ifadeleri birincil kaynakla doğrulanamamıştır; dört dil şartı T/R 61-02 Ek 1 §3'ün genel kuralıdır. Tespit edilebilen boşluklar: (1) B ve C sınıfı T/R 61-01 Ek 2'de yer almadığından bu sınıflar CEPT lisansıyla yurt dışında çalışamaz; ziyaret edilen ülkeden ayrıca izin gerekir. (2) İki CEPT listesinin Türkiye için farklı sınıf göstermesi açıklama gerektirir. (3) Yabancı amatörlerin Türkiye'deki çalışma usulü KEGM Sınav ve Belgelendirme Yönetmeliği Md.6/5-6 ile Md.19/1-b'de ve FTM Teknik Ölçütler Md.22 §8'de (KEGM'ye bildirim) düzenlenmiştir; ancak bu hükümler T/R 61-01'e değil "mütekabiliyet anlaşması"na dayanır ve toplulukta yeterince bilinmemektedir.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KEGM Sınav ve Belgelendirme Yön. (RG 27482) Md.6/5: mütekabiliyet anlaşması olan ülkelerden üç aydan kısa süre için gelen amatörler kendi çağrı işaretlerinin başına TA/TB öneki, bölge numarası ve "/" ekleyerek çalışabilir; Md.6/6 ve Md.19/1-b: üç ay ve daha uzun kalışta geçici amatör telsizcilik belgesi. FTM Teknik Ölçütler Md.22 §8: KEGM'ye bildirimle ruhsat muafiyeti. Bu hükümler T/R 61-01'e açıkça atıf yapmaz.</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CEPT T/R 61-01 (18 Ekim 2024 baskısı), Ek 1: CEPT lisansı yalnızca yerleşik olmayanlar için, ziyaret edilen ülkedeki geçici kalış süresince ve ulusal lisansın geçerlilik süresi içinde geçerlidir; ziyaret edilen ülke idari ücret almaz. T/R 61-02: HAREC sahiplerine üç aydan uzun kalışlarda ulusal lisans verilmesini öngörür. Kaynak: docdb.cept.org/download/4541 ; docdb.cept.org/download/4424</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46 CEPT üyesinin çoğunluğu T/R 61-01 uygulamasında. US: FCC, T/R 61-01 uygulayan CEPT ülkesi vatandaşlarına karşılıklı arama işareti tanımaktadır (FCC Part 97.107).</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Ulaştırma Bakanlığı / BTK'dan Talep: CEPT T/R 61-01 ve T/R 61-02 tavsiyelerinin kabul edilerek yönetmeliklere yansıtılması; KEGM belgelerinin HAREC muadili olarak tescili.</w:t>
            </w:r>
          </w:p>
        </w:tc>
      </w:tr>
    </w:tbl>
    <w:p w:rsidR="00D23DE4" w:rsidRDefault="00EF56A4">
      <w:pPr>
        <w:spacing w:before="40" w:after="80"/>
      </w:pPr>
      <w:r>
        <w:rPr>
          <w:b/>
          <w:bCs/>
          <w:color w:val="555555"/>
          <w:sz w:val="17"/>
          <w:szCs w:val="17"/>
        </w:rPr>
        <w:t xml:space="preserve">Kaynak: </w:t>
      </w:r>
      <w:r>
        <w:rPr>
          <w:color w:val="2E75B6"/>
          <w:sz w:val="17"/>
          <w:szCs w:val="17"/>
        </w:rPr>
        <w:t xml:space="preserve">CEPT T/R 61-01: docdb.cept.org/download/4541</w:t>
      </w:r>
    </w:p>
    <w:p w:rsidR="00D23DE4" w:rsidRDefault="00EF56A4">
      <w:pPr>
        <w:spacing w:before="40" w:after="80"/>
      </w:pPr>
      <w:r>
        <w:rPr>
          <w:b/>
          <w:bCs/>
          <w:color w:val="555555"/>
          <w:sz w:val="17"/>
          <w:szCs w:val="17"/>
        </w:rPr>
        <w:t xml:space="preserve">Kaynak: </w:t>
      </w:r>
      <w:r>
        <w:rPr>
          <w:color w:val="2E75B6"/>
          <w:sz w:val="17"/>
          <w:szCs w:val="17"/>
        </w:rPr>
        <w:t xml:space="preserve">CEPT T/R 61-02: docdb.cept.org/download/4424</w:t>
      </w:r>
    </w:p>
    <w:p w:rsidR="00D23DE4" w:rsidRDefault="00D23DE4">
      <w:pPr>
        <w:spacing w:before="120"/>
      </w:pPr>
    </w:p>
    <w:p w:rsidR="00D23DE4" w:rsidRDefault="00EF56A4">
      <w:pPr>
        <w:pStyle w:val="Heading30"/>
      </w:pPr>
      <w:r>
        <w:t>GA-4 — Yurt Dışı Geçici Cihaz Çıkışı (Gümrük)</w:t>
      </w:r>
    </w:p>
    <w:p w:rsidR="00D23DE4" w:rsidRDefault="00EF56A4">
      <w:pPr>
        <w:spacing w:before="80" w:after="120"/>
      </w:pPr>
      <w:r>
        <w:rPr>
          <w:b/>
          <w:bCs/>
        </w:rPr>
        <w:t>Sorun / Belirsizlik:</w:t>
      </w:r>
    </w:p>
    <w:p w:rsidR="00D23DE4" w:rsidRDefault="00EF56A4">
      <w:pPr>
        <w:spacing w:before="80" w:after="120"/>
      </w:pPr>
      <w:r>
        <w:t>Amatör telsizcilerin seyahat amacı ile telsiz cihazını yurt dışına çıkarması gümrük uygulamasında standart bir prosedürden yoksundur. Gümrük Yönetmeliği Ek-71 kullanılmakla birlikte uygulama il bazında farklılık göstermektedir.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TC Gümrük Yönetmeliği Ek-71: Ticari niteliğinde olmayan eşyanın geçici ihracatı; amatör telsiz cihazlarına özgü madde veya rehber yok.</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CEPT T/R 61-02 — HAREC (Harmonised Amateur Radio Examination Certificate, 16 Şubat 2024 baskısı): Sınav başarısını belgeleyen harmonize sertifika; uzun süreli ikamette karşılıklı lisansı kolaylaştırır.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CEPT üyesi çoğu ülke: Geçici ithalatta ATA Carneti veya basit beyan; gümrük muafiyeti. US: FCC ruhsatı ve ithalat beyannamesi standart. TR: Ek-71 formu geçerli ancak standart değil.</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KEGM / Gümrük ve Ticaret Bakanlığı'ndan Talep: Amatör telsiz cihazlarının geçici çıkışı için standart prosedür belgesi ve gümrük rehberi yayımlanması.</w:t>
            </w:r>
          </w:p>
        </w:tc>
      </w:tr>
    </w:tbl>
    <w:p w:rsidR="00D23DE4" w:rsidRDefault="00D23DE4">
      <w:pPr>
        <w:spacing w:before="120"/>
      </w:pPr>
    </w:p>
    <w:p w:rsidR="000A506A" w:rsidRDefault="000A506A">
      <w:pPr>
        <w:rPr>
          <w:b/>
          <w:bCs/>
          <w:color w:val="404040"/>
          <w:sz w:val="22"/>
          <w:szCs w:val="22"/>
        </w:rPr>
      </w:pPr>
      <w:r>
        <w:br w:type="page"/>
      </w:r>
    </w:p>
    <w:p w:rsidR="00D23DE4" w:rsidRDefault="00EF56A4">
      <w:pPr>
        <w:pStyle w:val="Heading30"/>
      </w:pPr>
      <w:r>
        <w:t>GA-5 — SDR ve Dijital Mod Sistemlerinin Kapsam Belirsizliği</w:t>
      </w:r>
    </w:p>
    <w:p w:rsidR="00D23DE4" w:rsidRDefault="00EF56A4">
      <w:pPr>
        <w:spacing w:before="80" w:after="120"/>
      </w:pPr>
      <w:r>
        <w:rPr>
          <w:b/>
          <w:bCs/>
        </w:rPr>
        <w:t>Sorun / Belirsizlik:</w:t>
      </w:r>
    </w:p>
    <w:p w:rsidR="00D23DE4" w:rsidRDefault="00EF56A4">
      <w:pPr>
        <w:spacing w:before="80" w:after="120"/>
      </w:pPr>
      <w:r>
        <w:t xml:space="preserve">Yazılım Tanımlı Telsiz (SDR) sistemler ve FT8, WSPR, JS8Call, D-STAR, DMR, C4FM, DATV gibi dijital modlar BTK TAD (2018)'de emisyon tipi olarak tanımlanmamıştır. Bu durum ruhsat muafiyetinin bu sistemleri kapsayıp kapsamadığını belirsizleştirir.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TAD (2018) emisyonları ITU sınıflarıyla sayar; HF bantları için (TAD08-01-03) A1A, A1B, A2A, A3C, F1A, F2A, F2B, H3E, J2A, J2B, J3C, J3E, R3E listelenir, J2D ve F1D gibi veri emisyonları yer almaz. FTM Teknik Ölçütler Tablo 26-1 ise A1D, F1D ve J2D gibi veri emisyonları dahil 24 tip sayar ve Tablo 25 HF bantlarında J2D'ye izin verir. FT8/WSPR gibi modlar iki belgede de adıyla anılmaz. Buna karşılık BTK FTM Teknik Ölçütler (BTK Kurul Kararı 23.09.2022, 2022/İK-SYD/245) Md.22 §13, amatör haberleşmede kullanılan yöntemler arasında Q kodları, mors kodu, RTTY, SSTV, FSTV, PSK, PACTOR, AMPR, APRS ve TCP/IP'yi ismen saymaktadır. Dolayısıyla dijital modlar mevzuatta tümüyle tanımsız değildir; boşluk, emisyon tipi tablolarının (TAD (2018) / Tablo 26-1) bu yöntemlerle güncellenmemiş olmasıdır.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HF Bandplan (2019): FT8, FT4, JS8Call, Winlink için özel frekans segmentleri tanımlıdır. IARU R1 VHF Handbook v10 (2026): D-STAR, DMR, C4FM, DATV için band segmentleri. Kaynak: iaru-r1.org/wp-content/uploads/2019/08/hf_r1_bandplan.pdf</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DE/GB/US: FT8, WSPR, Winlink, D-STAR, DMR kullanımı amatör lisans kapsamında serbest; ulusal band planlarına entegre. IARU R1 üye kuruluşları IARU bandplanını ulusal planlara doğrudan almaktadır.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BTK'dan Talep: TAD (2018)'in güncellenmesi; FT8, FT4, JS8Call, WSPR, Winlink/VARA, APRS, D-STAR, DMR, C4FM, DATV'nin emisyon tipi olarak eklenmesi; SDR sistemlerin kapsama alınması.</w:t>
            </w:r>
          </w:p>
        </w:tc>
      </w:tr>
    </w:tbl>
    <w:p w:rsidR="00D23DE4" w:rsidRDefault="00EF56A4">
      <w:pPr>
        <w:spacing w:before="40" w:after="80"/>
      </w:pPr>
      <w:r>
        <w:rPr>
          <w:b/>
          <w:bCs/>
          <w:color w:val="555555"/>
          <w:sz w:val="17"/>
          <w:szCs w:val="17"/>
        </w:rPr>
        <w:t xml:space="preserve">Kaynak: </w:t>
      </w:r>
      <w:r>
        <w:rPr>
          <w:color w:val="2E75B6"/>
          <w:sz w:val="17"/>
          <w:szCs w:val="17"/>
        </w:rPr>
        <w:t xml:space="preserve">BTK TAD (2018): btk.gov.tr/uploads/pages/amatör-sistemleri-tad.pdf</w:t>
      </w:r>
    </w:p>
    <w:p w:rsidR="00D23DE4" w:rsidRDefault="00EF56A4">
      <w:pPr>
        <w:spacing w:before="40" w:after="80"/>
      </w:pPr>
      <w:r>
        <w:rPr>
          <w:b/>
          <w:bCs/>
          <w:color w:val="555555"/>
          <w:sz w:val="17"/>
          <w:szCs w:val="17"/>
        </w:rPr>
        <w:t xml:space="preserve">Kaynak: </w:t>
      </w:r>
      <w:r>
        <w:rPr>
          <w:color w:val="2E75B6"/>
          <w:sz w:val="17"/>
          <w:szCs w:val="17"/>
        </w:rPr>
        <w:t>IARU R1 HF Bandplan: iaru-r1.org/wp-content/uploads/2019/08/hf_r1_bandplan.pdf</w:t>
      </w:r>
    </w:p>
    <w:p w:rsidR="00D23DE4" w:rsidRDefault="00D23DE4">
      <w:pPr>
        <w:spacing w:before="120"/>
      </w:pPr>
    </w:p>
    <w:p w:rsidR="00D23DE4" w:rsidRDefault="00EF56A4">
      <w:pPr>
        <w:pStyle w:val="Heading30"/>
      </w:pPr>
      <w:r>
        <w:t>GA-6 — Anten Kurulumu ve Kat Mülkiyeti Çatışması</w:t>
      </w:r>
    </w:p>
    <w:p w:rsidR="00D23DE4" w:rsidRDefault="00EF56A4">
      <w:pPr>
        <w:spacing w:before="80" w:after="120"/>
      </w:pPr>
      <w:r>
        <w:rPr>
          <w:b/>
          <w:bCs/>
        </w:rPr>
        <w:t>Sorun / Belirsizlik:</w:t>
      </w:r>
    </w:p>
    <w:p w:rsidR="00D23DE4" w:rsidRDefault="00EF56A4">
      <w:pPr>
        <w:spacing w:before="80" w:after="120"/>
      </w:pPr>
      <w:r>
        <w:t>Amatör telsiz anteni kurmak isteyen operatörler kat mülkiyeti yönetimi ile çatışmaktadır. Mevzuatta amatör antene özgü muafiyet veya hak tanımı bulunmamakta; 634 sayılı KMK Md.19 ortak alanlardaki değişiklikleri kat maliklerinin nitelikli çoğunluğunun onayına baglamaktadır.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5809 EHK Md.37/3 istasyon kurulumunu kapsar; anten konusunda KMK Md.19 ile çatışma çözümsüz. BTK FTM Yönetmeliği: Anten kurulumuna özgü muafiyet yok.</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VHF Handbook v10: Ulusal mevzuatın anten kurulumunu destekler nitelikte olması tavsiye edilir. IARU VHF El Kitabı ve CEPT çerçevesi, amatör anten kurulumunu kolaylaştıran yasal ortamı teşvik eder.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ES/BE/NL: Amatör telsiz anteni kurulumuna özel yasal güvence. DE: BNetzA (BTK muadili) amatör antenleri için KMK muadili çatışmayı açıklamıştır. TR'de emsal mahkeme kararları dağınık.</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Ulaştırma Bakanlığı / Çevre Bakanlığı'ndan Talep: 634 KMK Md.19 ile çatışmayı gideren yasal düzenleme veya BTK/KEGM'den açıklayıcı genelge.</w:t>
            </w:r>
          </w:p>
        </w:tc>
      </w:tr>
    </w:tbl>
    <w:p w:rsidR="00D23DE4" w:rsidRDefault="00D23DE4">
      <w:pPr>
        <w:spacing w:before="120"/>
      </w:pPr>
    </w:p>
    <w:p w:rsidR="00D23DE4" w:rsidRDefault="00EF56A4">
      <w:pPr>
        <w:pStyle w:val="Heading30"/>
      </w:pPr>
      <w:r>
        <w:t>GA-RX — RX (Dinleme) Faaliyetinin Hukuki Statüsü</w:t>
      </w:r>
    </w:p>
    <w:p w:rsidR="00D23DE4" w:rsidRDefault="00EF56A4">
      <w:pPr>
        <w:spacing w:before="80" w:after="120"/>
      </w:pPr>
      <w:r>
        <w:rPr>
          <w:b/>
          <w:bCs/>
        </w:rPr>
        <w:t>Sorun / Belirsizlik:</w:t>
      </w:r>
    </w:p>
    <w:p w:rsidR="00D23DE4" w:rsidRDefault="00EF56A4">
      <w:pPr>
        <w:spacing w:before="80" w:after="120"/>
      </w:pPr>
      <w:r>
        <w:t>Alıcı cihazlarla frekans dinlemesi (RX), sinyal yaymadığı için teknik olarak tespit edilemez. Buna karşın TR mevzuatında 'dinlemek serbest, yalnızca ifsa yasaktır' ilkesi kodifiye edilmemiştir. TCK Md.132-133 geniş yorumda uygulanabilir; yetkili satış noktaları hukuki dayanaksız biçimde RX kilitlemesi yaparak satış yapmaktadır. RTL-SDR dongle (24 MHz-1.766 GHz RX) kısıtsız satılırken el telsizinde RX kısıtlaması tutarsızlık yaratmaktadır.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TCK Md.132: Haberleşme gizliliği ihlali. TCK Md.133: Kişilerin konuşmalarını dinleme/kayıt. 5809 EHK Md.37/3: TX için muafiyet. 5809 EHK Md.51/2: haberleşmeye taraf olanların tamamının rızası olmaksızın haberleşmenin dinlenmesi ve kaydedilmesi yasaktır (hüküm "Kişisel verilerin işlenmesi ve gizliliğin korunması" başlığı altındadır; amatör alıcılara nasıl uygulanacağı yoruma açıktır). FTM Teknik Ölçütler Md.24: frekans tahsisine ihtiyaç duymayan salt alıcı cihazlar (5809 Md.45'te sayılanlar hariç) ruhsat, kurma-kullanma izni ve tescilden muaftır. Yani cihaz rejimi alıcıyı açıkça düzenler; açık olmayan, dinleme eyleminin hangi hallerde suç sayılacağıdır.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ITU-RR: RX eylemine kısıtlama önerisi yok. IARU: RX özgürlüğü uluslararası amatör topluluğunda norm olarak benimsenmiştir, ancak resmi IARU politika belgesi bulunmamaktadır.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 xml:space="preserve">DE: TDDDG §5 (Aralık 2021'den itibaren TTDSG, Mayıs 2024'ten beri TDDDG adıyla) — telsizle yalnızca operatöre, amatörlere, genel kamuya veya belirsiz bir kişi grubuna yönelik mesajlar dinlenebilir; diğer mesajların içeriği ve alındığı olgusu, alım kasıtsız olsa bile başkalarına iletilemez. US: 18 USC §2511(1)(a) dinlemeyi (intercept) de yasaklar; amatör, CB ve GMRS bantlarındaki yayınlar §2511(2)(g)(ii)(III) ile istisnadır. GB: WTA 2006 s.48(1)(a) muhatap olunmayan bir mesajın içeriğini öğrenmek amacıyla cihaz kullanmayı, (b) bu bilgiyi ifşa etmeyi suç sayar. Üç ülkede de amatör ve genel kamuya yönelik yayınları dinlemek açıkça serbesttir; diğer haberleşmelerde dinleme ve ifşa sınırlanmıştır.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BTK'dan Talep: 'RX eylemi serbesttir; suçu oluşturan ifsa ve hukuka aykırı kullanımıdir' ilkesinin 5809 EHK veya alt düzenlemede kodifiye edilmesi. Yetkili satıcı rehberinde RX kısıtlamasinin zorunlu olmadığının açıklanması.</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Dikkat: RTL-SDR, AIS, ADS-B alıntılanırken 'bunları da yasaklayın' cevabı gelmemesi için 'RX özgürlüğü tutarlılık gerektirir' çerçevesinde sunulmalıdır.</w:t>
            </w:r>
          </w:p>
        </w:tc>
      </w:tr>
    </w:tbl>
    <w:p w:rsidR="00D23DE4" w:rsidRDefault="00EF56A4">
      <w:pPr>
        <w:spacing w:before="40" w:after="80"/>
      </w:pPr>
      <w:r>
        <w:rPr>
          <w:b/>
          <w:bCs/>
          <w:color w:val="555555"/>
          <w:sz w:val="17"/>
          <w:szCs w:val="17"/>
        </w:rPr>
        <w:t xml:space="preserve">Kaynak: DE TDDDG §5: gesetze-im-internet.de/ttdsg/__5.html</w:t>
      </w:r>
      <w:r>
        <w:rPr>
          <w:color w:val="2E75B6"/>
          <w:sz w:val="17"/>
          <w:szCs w:val="17"/>
        </w:rPr>
        <w:t xml:space="preserve"/>
      </w:r>
    </w:p>
    <w:p w:rsidR="00D23DE4" w:rsidRDefault="00EF56A4">
      <w:pPr>
        <w:spacing w:before="40" w:after="80"/>
      </w:pPr>
      <w:r>
        <w:rPr>
          <w:b/>
          <w:bCs/>
          <w:color w:val="555555"/>
          <w:sz w:val="17"/>
          <w:szCs w:val="17"/>
        </w:rPr>
        <w:t xml:space="preserve">Kaynak: </w:t>
      </w:r>
      <w:r>
        <w:rPr>
          <w:color w:val="2E75B6"/>
          <w:sz w:val="17"/>
          <w:szCs w:val="17"/>
        </w:rPr>
        <w:t>US ECPA: law.cornell.edu/uscode/text/18/2511</w:t>
      </w:r>
    </w:p>
    <w:p w:rsidR="00D23DE4" w:rsidRDefault="00D23DE4">
      <w:pPr>
        <w:spacing w:before="120"/>
      </w:pPr>
    </w:p>
    <w:p w:rsidR="00D23DE4" w:rsidRDefault="00EF56A4" w:rsidP="00760C22">
      <w:pPr>
        <w:pStyle w:val="Heading30"/>
      </w:pPr>
      <w:r>
        <w:t xml:space="preserve">GA-RX Alt Konu: Kanal Hafıza Programlama ve Art Niyet Riski </w:t>
      </w:r>
    </w:p>
    <w:p w:rsidR="00D23DE4" w:rsidRPr="00760C22" w:rsidRDefault="00EF56A4" w:rsidP="00760C22">
      <w:pPr>
        <w:spacing w:before="80" w:after="120"/>
        <w:rPr>
          <w:b/>
          <w:bCs/>
        </w:rPr>
      </w:pPr>
      <w:r w:rsidRPr="00760C22">
        <w:rPr>
          <w:b/>
          <w:bCs/>
        </w:rPr>
        <w:t>Sorun / Belirsizlik:</w:t>
      </w:r>
    </w:p>
    <w:p w:rsidR="00D23DE4" w:rsidRDefault="00EF56A4">
      <w:r>
        <w:t>Tam açık (tüm bant) alıcı cihazlarda (SDR, geniş bantlı el telsizleri, skaner) 'favoriler' veya hafıza kanalına kayıt ile anlık tarama arasında hukuki anlam farkı vardır. Askeri, istihbarat veya güvenliği ihlal edebilecek frekansların (askerî taktik telsiz, emniyet, istihbarat) hafıza kanalına kaydedilmesi; pasif taramadan farklı olarak 'amacın ispatına' yarayan dolaylı delil niteliği taşıyabilmektedir. Türk mahkeme ve savcılıkları özellikle post-2016 süreçlerde telsiz hafizasındaki frekansları 'art niyet kanıtı' olarak değerlendirilmistir.</w:t>
      </w:r>
    </w:p>
    <w:p w:rsidR="00D23DE4" w:rsidRDefault="00D23DE4"/>
    <w:p w:rsidR="00D23DE4" w:rsidRDefault="00EF56A4">
      <w:r w:rsidRPr="006054A1">
        <w:rPr>
          <w:b/>
        </w:rPr>
        <w:t>Hukuki Çerçeve: (a)</w:t>
      </w:r>
      <w:r>
        <w:t xml:space="preserve"> Kanal kaydetme eyleminin kendi başına suç teşkil etmeyişi: Önceki sürümlerde atıf yapılan 2813 sayılı Kanunun 36 ncı maddesi yürütme maddesidir; Kanunun 26-34. maddeleri 2008'de 5809 sayılı Kanunla kaldırılmıştır. Haberleşmenin gizliliğine ilişkin güncel hüküm 5809 Md.51/2'dir (tarafların rızası olmaksızın haberleşmenin dinlenmesi ve kaydedilmesi yasaktır); hafızaya almak dinleme değil hazırlık olarak nitelendirilebilir. TCK Md.132 (haberleşmenin gizliliğini ihlal) ve Md.133 (konuşmaların dinlenmesi) 'dinlemek veya kayda almak' eylemini esas alır; kanal listesine yazma bu fiilin doğrudan unsuru değildir. </w:t>
      </w:r>
      <w:r w:rsidRPr="006054A1">
        <w:rPr>
          <w:b/>
        </w:rPr>
        <w:t xml:space="preserve">(b) </w:t>
      </w:r>
      <w:r>
        <w:t xml:space="preserve">Delil olarak kullanımı: CMK Md.134 kapsamında cihaza el konulduğunda hafızadaki frekans listesi incelenebilir; savcı bu listeyi 'kasıtlı, sistematik izleme hazırlığı' olarak nitelendirirse iddianamedeki alt fakt olur. TCK Md.329 (devlet güvenliğine ilişkin gizli bilgiler) veya 3713 TMK kapsamında ek suçlama yapılmış örnekler mevcuttur (kamuya açık mahkeme kararları ile doğrulanmamış; ancak savunma avukatları tarafından raporlanmıştır). </w:t>
      </w:r>
      <w:r w:rsidRPr="006054A1">
        <w:rPr>
          <w:b/>
        </w:rPr>
        <w:t>(c)</w:t>
      </w:r>
      <w:r>
        <w:t xml:space="preserve"> SDR ve yazılım tabanlı alıcılarda fark: GNU Radio, SDR#, GQRX gibi yazılımlarda frekans 'preset' dosyası (CSV/XML) hafızaya almakla eşit muamele görebilir; oysa anlık tarama (ort, scan komutu) aynı hukuki riski taşımaz. </w:t>
      </w:r>
      <w:r w:rsidRPr="006054A1">
        <w:rPr>
          <w:b/>
        </w:rPr>
        <w:t>(d)</w:t>
      </w:r>
      <w:r>
        <w:t xml:space="preserve"> Kanal kaydı olmaksızın dinleme: Taramanın devam etmesi, bir frekansta takılı kalmak (squelch açıkken) delil olarak daha belirsiz konumdadır; anlik dinlemenin ispatlanabilirlik güçlüğü nedeniyle hukuki riski daha düşüktür.</w:t>
      </w:r>
    </w:p>
    <w:p w:rsidR="00D23DE4" w:rsidRDefault="00D23DE4"/>
    <w:p w:rsidR="00D23DE4" w:rsidRDefault="00EF56A4">
      <w:r w:rsidRPr="006054A1">
        <w:rPr>
          <w:b/>
        </w:rPr>
        <w:t>Pratik Öneri: (1)</w:t>
      </w:r>
      <w:r>
        <w:t xml:space="preserve"> Amatör SDR veya geniş bantlı alıcı kullananlar, yazılım preset/hafıza dosyalarını yalnızca amatör/yayıncılık bantlarını içerecek şekilde tutmalı; askerî/güvenlik frekanslarını kaydetmekten kaçınmalı. </w:t>
      </w:r>
      <w:r w:rsidRPr="006054A1">
        <w:rPr>
          <w:b/>
        </w:rPr>
        <w:t>(2)</w:t>
      </w:r>
      <w:r>
        <w:t xml:space="preserve"> Eğitim amaçlı bile olsa bu frekansların kalıcı kaydı yerine anlık manuel tuning tercih edilmeli. </w:t>
      </w:r>
      <w:r w:rsidRPr="006054A1">
        <w:rPr>
          <w:b/>
        </w:rPr>
        <w:t xml:space="preserve">(3) </w:t>
      </w:r>
      <w:r>
        <w:t xml:space="preserve">El koyma riskinde: Cihazın hafızasında yalnızca meşru amatör frekansların bulunması 'iyi niyet' karinesi oluşturur. </w:t>
      </w:r>
      <w:r w:rsidRPr="006054A1">
        <w:rPr>
          <w:b/>
        </w:rPr>
        <w:t>(4)</w:t>
      </w:r>
      <w:r>
        <w:t xml:space="preserve"> dernek ve kulüpler ve amatör kulüplerinden talep: Hafıza programlama disiplini konusunda üye kitlesini bilgilendirici kılavuz yayımlanması.</w:t>
      </w:r>
    </w:p>
    <w:p w:rsidR="00D23DE4" w:rsidRDefault="00D23DE4"/>
    <w:p w:rsidR="00D23DE4" w:rsidRDefault="00EF56A4">
      <w:r w:rsidRPr="006054A1">
        <w:rPr>
          <w:b/>
        </w:rPr>
        <w:t>Kaynak:</w:t>
      </w:r>
      <w:r>
        <w:t xml:space="preserve"> TCK Md.132-133: mevzuat.gov.tr; CMK Md.134: mevzuat.gov.tr; 5809 EHK Md.51/2: mevzuat.gov.tr. Karşılaştırma: DE TDDDG §5 — yalnızca operatöre, amatörlere veya genel kamuya yönelik mesajlar dinlenebilir; diğerlerinin içeriği ve alındığı olgusu, alım kasıtsız olsa bile başkalarına iletilemez. GB Wireless Telegraphy Act 2006 s.48(1): muhatap olunmayan bir mesajın içeriğini öğrenmek amacıyla cihaz kullanmak ve bu bilgiyi ifşa etmek suçtur.</w:t>
      </w:r>
    </w:p>
    <w:p w:rsidR="00D23DE4" w:rsidRDefault="00D23DE4"/>
    <w:p w:rsidR="00760C22" w:rsidRDefault="00760C22">
      <w:pPr>
        <w:rPr>
          <w:b/>
          <w:bCs/>
          <w:color w:val="404040"/>
          <w:sz w:val="22"/>
          <w:szCs w:val="22"/>
        </w:rPr>
      </w:pPr>
      <w:r>
        <w:br w:type="page"/>
      </w:r>
    </w:p>
    <w:p w:rsidR="00D23DE4" w:rsidRDefault="00EF56A4">
      <w:pPr>
        <w:pStyle w:val="Heading30"/>
      </w:pPr>
      <w:r>
        <w:t>GA-NODE — Remote Telsiz Nodu ve Internet Yayını — RTUK/BTK Çatışması</w:t>
      </w:r>
    </w:p>
    <w:p w:rsidR="00D23DE4" w:rsidRDefault="00EF56A4">
      <w:pPr>
        <w:spacing w:before="80" w:after="120"/>
      </w:pPr>
      <w:r>
        <w:rPr>
          <w:b/>
          <w:bCs/>
        </w:rPr>
        <w:t>Sorun / Belirsizlik:</w:t>
      </w:r>
    </w:p>
    <w:p w:rsidR="00D23DE4" w:rsidRDefault="00EF56A4" w:rsidP="00760C22">
      <w:pPr>
        <w:spacing w:before="80" w:after="120"/>
      </w:pPr>
      <w:r>
        <w:t xml:space="preserve">EchoLink, AllStar, D-STAR reflector, WebSDR ve KiwiSDR gibi sistemlerde RF'ten alınan sinyal internete yönlendirilmektedir. 6112 Sayılı Kanun'daki "yayın" tanımının (Md.3/1-ff; bireysel iletişim hariç) bu trafiği kapsayıp kapsamadığı tartışmalıdır; RTUK lisansı olmadan internet yayını yapmanın hukuki riski belirsizdir. Yurt dışındaki KiwiSDR sunucuları TR frekanslarını zaten yayımlamaktadir; TR'deki amatör bunu yapınca hukuki risk doğar.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6112 Sayılı Kanun Md.3/1-ff: "yayın" tanımı "bireysel iletişim hariç olmak üzere" kaydını taşır; önceki sürümlerde Md.2'ye atfedilen "kamuya açık eş zamanlı içerik iletimi" ibaresi Kanunda geçmemektedir. RTÜK lisansı gerekip gerekmediği bu tanıma göre değerlendirilir. Buna karşılık BTK FTM Teknik Ölçütler (BTK Kurul Kararı 23.09.2022, 2022/İK-SYD/245) Md.22 §12, amatör telsizcilerin “deneysel ya da internet-telsiz arayüzü kullanan diğer amatör telsizcilik faaliyetlerinde” bulunabileceğini açıkça düzenler; bu durumlarda Kurum tarafından yapılan frekans planlamasına uyulur. Dolayısıyla telsiz mevzuatı bakımından internet-RF köprüsü izinlidir; belirsizlik, aynı trafiğin 6112 sayılı Kanun bakımından “yayın” sayılıp sayılmayacağı ve BTK ile RTÜK yorumlarının ayrışmasıdır.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EchoLink ve AllStar gibi RF-bağlantılı internet sistemleri amatör servis kapsamında değerlendirilir; RF bağının varlığı esastır. Kaynak: iaru-r1.org/about-us/committees-and-working-groups/emcomm/</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DE/GB/US: EchoLink düğümleri bireysel amatör lisansıyla serbest; RTUK muadili kuruluşlar bu trafiği 'yayını' saymamaktadır. WebSDR servisleri birçok Avrupa ülkesinde yönetilmeden çalışmaktadir.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 + RTUK'ten Ortak Talep: RF-bağlantılı internet köprü sistemlerinin (EchoLink, AllStar, KiwiSDR) 6112 kapsamında 'yayını' sayılmadığının ortak görüş yazısıyla teyit edilmesi.</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Dikkat: EchoLink fiilen tolere edilmektedir. Tutarsızlık olarak değil 'mevcut iyi uygulamanın yasal çerçeveye kavuşturulması' olarak sunulmalıdır.</w:t>
            </w:r>
          </w:p>
        </w:tc>
      </w:tr>
    </w:tbl>
    <w:p w:rsidR="00D23DE4" w:rsidRDefault="00EF56A4">
      <w:pPr>
        <w:spacing w:before="40" w:after="80"/>
      </w:pPr>
      <w:r>
        <w:rPr>
          <w:b/>
          <w:bCs/>
          <w:color w:val="555555"/>
          <w:sz w:val="17"/>
          <w:szCs w:val="17"/>
        </w:rPr>
        <w:t xml:space="preserve">Kaynak: </w:t>
      </w:r>
      <w:r>
        <w:rPr>
          <w:color w:val="2E75B6"/>
          <w:sz w:val="17"/>
          <w:szCs w:val="17"/>
        </w:rPr>
        <w:t>IARU EMCOMM: iaru-r1.org/on-the-air/emergency-communications/</w:t>
      </w:r>
    </w:p>
    <w:p w:rsidR="00D23DE4" w:rsidRDefault="00D23DE4">
      <w:pPr>
        <w:spacing w:before="120"/>
      </w:pPr>
    </w:p>
    <w:p w:rsidR="00D23DE4" w:rsidRDefault="00EF56A4">
      <w:pPr>
        <w:pStyle w:val="Heading30"/>
      </w:pPr>
      <w:r>
        <w:t>GA-CROSS — Bireysel Cross-Band ve Geçici Role İşletimi (APRS dahil)</w:t>
      </w:r>
    </w:p>
    <w:p w:rsidR="00D23DE4" w:rsidRDefault="00EF56A4">
      <w:pPr>
        <w:spacing w:before="80" w:after="120"/>
      </w:pPr>
      <w:r>
        <w:rPr>
          <w:b/>
          <w:bCs/>
        </w:rPr>
        <w:t>Sorun / Belirsizlik:</w:t>
      </w:r>
    </w:p>
    <w:p w:rsidR="00D23DE4" w:rsidRDefault="00EF56A4" w:rsidP="00760C22">
      <w:pPr>
        <w:spacing w:before="80" w:after="120"/>
      </w:pPr>
      <w:r>
        <w:t>TR mevzuatında tekrarlayıcı (role) işletimi dernek tüzel kişiliğiyle sınırlandırılmıştır. Bireysel cross-band tekrarlama (amatör sinyalin alınıp farklı bantta yeniden iletilmesi) tanımlı değildir; teknik olarak izinsiz role işlevi gördüğünden her iki taraf da ihlal riski altındadır. APRS digipeater cihazları de facto olarak kullanılmaktadır (aprs.fi haritasında Türkiye'de yüzlerce aktif istasyon); bunlar da aynı hukuki belirsizlik içindedir.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KEGM Sınav Yönetmeliği Md.4/1-e, amatör istasyonu kurabilecekler arasında dernekleri ve belgeli gerçek kişileri birlikte sayar. Röleyi derneğe bağlayan hükümler FTM Teknik Ölçütler Md.22 §12 ("amatör telsiz dernekleri tarafından kurulan tekrarlayıcı") ve Tablo 25 (röle cihazları dernekler tarafından kurulur) ile KEGM Yön. Md.6/2-ç'dir (röle istasyonlarına organizasyonlar için YM öneki). Cross-band veya geçici tekrarlama tanımlı değil. ITU-RR: 'Karışma yaratmama' ve 'kendi adına haberleşme' şartları.</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VHF Handbook v10: Tekrarlayıcı koordinasyonu önerilir; bireysel lisansla işletim mümkün kabul edilir. FCC Part 97.205 (US): Cross-band tekrarlama için özel bir yasak yok; 'rebroadcast' yasağı ticari yayına uygulanır. Kaynak: iaru-r1.org/wp-content/uploads/2026/02/VHF_Handbook_V10_03_final.pdf</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 (FCC 97.205): Bireysel veya kulüp, koordinasyonla role işletebilir. DE: Role koordinasyonu DARC üzerinden; bireysel işletim mümkün. GB: Ofcom NoV ile bireysel role başvurusu mümkün. TR: Yalnızca dernekler.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BTK/KEGM'den Talep: Tekrarlayıcı işletim izninin bireysel A sınıfı belge sahiplerine de tanınması; APRS digipeater'ların koordinasyon bildirimle bireysel kurulumunun serbest bırakılması.</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Dikkat: APRS altyapısı AFAD ve SAR ekipleri tarafından afet takibinde kullanılmaktadır. 'Bunlar yasadışı' argümanı yerine 'bunlar yararlı, yasal çerçeveye alının' argümanı kullanılmalıdır.</w:t>
            </w:r>
          </w:p>
        </w:tc>
      </w:tr>
    </w:tbl>
    <w:p w:rsidR="00D23DE4" w:rsidRDefault="00EF56A4">
      <w:pPr>
        <w:spacing w:before="40" w:after="80"/>
      </w:pPr>
      <w:r>
        <w:rPr>
          <w:b/>
          <w:bCs/>
          <w:color w:val="555555"/>
          <w:sz w:val="17"/>
          <w:szCs w:val="17"/>
        </w:rPr>
        <w:t xml:space="preserve">Kaynak: </w:t>
      </w:r>
      <w:r>
        <w:rPr>
          <w:color w:val="2E75B6"/>
          <w:sz w:val="17"/>
          <w:szCs w:val="17"/>
        </w:rPr>
        <w:t>IARU R1 VHF Handbook v10: iaru-r1.org/wp-content/uploads/2026/02/VHF_Handbook_V10_03_final.pdf</w:t>
      </w:r>
    </w:p>
    <w:p w:rsidR="00D23DE4" w:rsidRDefault="00EF56A4">
      <w:pPr>
        <w:spacing w:before="40" w:after="80"/>
      </w:pPr>
      <w:r>
        <w:rPr>
          <w:b/>
          <w:bCs/>
          <w:color w:val="555555"/>
          <w:sz w:val="17"/>
          <w:szCs w:val="17"/>
        </w:rPr>
        <w:t xml:space="preserve">Kaynak: </w:t>
      </w:r>
      <w:r>
        <w:rPr>
          <w:color w:val="2E75B6"/>
          <w:sz w:val="17"/>
          <w:szCs w:val="17"/>
        </w:rPr>
        <w:t>FCC Part 97.205: ecfr.gov/current/title-47/chapter-I/subchapter-D/part-97/subpart-C/section-97.205</w:t>
      </w:r>
    </w:p>
    <w:p w:rsidR="00D23DE4" w:rsidRDefault="00D23DE4">
      <w:pPr>
        <w:spacing w:before="120"/>
      </w:pPr>
    </w:p>
    <w:p w:rsidR="00D23DE4" w:rsidRDefault="00EF56A4">
      <w:pPr>
        <w:pStyle w:val="Heading30"/>
      </w:pPr>
      <w:r>
        <w:t>GA-POC — POC Cihazları, Amatör Tanımı ve Tüketici Magduriyeti</w:t>
      </w:r>
    </w:p>
    <w:p w:rsidR="00D23DE4" w:rsidRDefault="00EF56A4">
      <w:pPr>
        <w:spacing w:before="80" w:after="120"/>
      </w:pPr>
      <w:r>
        <w:rPr>
          <w:b/>
          <w:bCs/>
        </w:rPr>
        <w:t>Sorun / Belirsizlik:</w:t>
      </w:r>
    </w:p>
    <w:p w:rsidR="00D23DE4" w:rsidRDefault="00EF56A4" w:rsidP="00760C22">
      <w:pPr>
        <w:spacing w:before="80" w:after="120"/>
      </w:pPr>
      <w:r>
        <w:t>Push-to-Talk over Cellular (POC) cihazlar hücresel altyapıda çalışmakta; hiçbir noktada amatör frekans spektrumu kullanılmamaktadır. Bazı satıcılar bu cihazları 'amatör telsiz' ve 'afet haberleşme aracı' olarak pazarlamış, şehir rölelerine yetkisiz bağlantı vaadi vermiştir. amatör telsiz dernek ve kulüpleri'in bildirisiyle POC'un amatörlük kapsamında olmadığı açıklanmistir; ancak bu bildirinin hukuki bağlayıcılığı yoktur. POC ile EchoLink/DMR arasındaki tanım farkı 'RF kullanımı zorunluluğu'dur.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KEGM Sınav Yönetmeliği Md.4/1e: Amatör istasyon tanımı RF sistemleri kapsar; hücresel ağ tabanlı sistemler tanımın dışındadir. 5809 EHK: 'Telsiz' tanımı RF gerektirmektedir. 6502 Sayılı TKHK: Yanıltıcı ticari uygulama hükümleri.</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ITU-RR Md.1 §1.56: Amatör servis — 'kişisel amaçla, ticari menfaat olmaksızın, radyo tekniği ile kendi eğitimi, karşılıklı haberleşme ve teknik araştırma.' POC bu tanımı karşılamaz.</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 FCC Part 97.3: Amatör servis RF spektrumu kullanımını zorunlu kılar; POC muadili sistemler kapsam dışında. DE/GB/FR: Benzer tanım; POC amatör lisansına bağlı değil.</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KEGM/BTK + Ticaret Bakanlığı'ndan Talep: 'Amatör telsiz' ibaresinin yalnızca RF tabanlı sistemlere uygulanabileceğinin ticari rehberde açıklanması; yanıltıcı pazarlamaya yönelik şikayet mekanizması.</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Dikkat: POC ile EchoLink/DMR arasındaki ayrımı 'RF kullanımı' olarak net yazmak zorunludur; aksi halde EchoLink ve DMR de kapsam dışı sayılabilir.</w:t>
            </w:r>
          </w:p>
        </w:tc>
      </w:tr>
    </w:tbl>
    <w:p w:rsidR="00D23DE4" w:rsidRDefault="00EF56A4">
      <w:pPr>
        <w:spacing w:before="40" w:after="80"/>
      </w:pPr>
      <w:r>
        <w:rPr>
          <w:b/>
          <w:bCs/>
          <w:color w:val="555555"/>
          <w:sz w:val="17"/>
          <w:szCs w:val="17"/>
        </w:rPr>
        <w:t xml:space="preserve">Kaynak: </w:t>
      </w:r>
      <w:r>
        <w:rPr>
          <w:color w:val="2E75B6"/>
          <w:sz w:val="17"/>
          <w:szCs w:val="17"/>
        </w:rPr>
        <w:t>ITU-RR Md.1 §1.56: itu.int/pub/R-REG-RR</w:t>
      </w:r>
    </w:p>
    <w:p w:rsidR="00D23DE4" w:rsidRDefault="00D23DE4">
      <w:pPr>
        <w:spacing w:before="120"/>
      </w:pPr>
    </w:p>
    <w:p w:rsidR="00D23DE4" w:rsidRDefault="00EF56A4">
      <w:pPr>
        <w:pStyle w:val="Heading30"/>
      </w:pPr>
      <w:r>
        <w:t>GA-DIG — Dijital Modlar ve Kodlama — Şifreleme Algısı</w:t>
      </w:r>
    </w:p>
    <w:p w:rsidR="00D23DE4" w:rsidRDefault="00EF56A4">
      <w:pPr>
        <w:spacing w:before="80" w:after="120"/>
      </w:pPr>
      <w:r>
        <w:rPr>
          <w:b/>
          <w:bCs/>
        </w:rPr>
        <w:t>Sorun / Belirsizlik:</w:t>
      </w:r>
    </w:p>
    <w:p w:rsidR="00D23DE4" w:rsidRDefault="00EF56A4" w:rsidP="00760C22">
      <w:pPr>
        <w:spacing w:before="80" w:after="120"/>
      </w:pPr>
      <w:r>
        <w:t xml:space="preserve">FT8 (LDPC kodlama + Costas dizisi), WSPR, JS8Call ve Winlink (Open B2F protokolü) gibi modlar teknik olarak kodlama içermekte; ancak bu protokoller kamuya açık ve belgeli olduğu için ITU-RR Md.25 §25.2A'daki 'anlam gizleme amacı' testini karşılamamaktadır. BTK TAD (2018) ve FTM Tablo 26-1 bu modları listede içermediğinden kullanım belirsizdir.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FTM Teknik Ölçütler Tablo 26-1: emisyonları ITU sınıfıyla sayar (A1D, F1D, J2D gibi veri tipleri dahil 24 tip); FT8, WSPR, Winlink adıyla anılmaz. TAD (2018) HF listesi (TAD08-01-03) J2D ve F1D gibi veri emisyonlarını içermez. Ancak BTK FTM Teknik Ölçütler (BTK Kurul Kararı 23.09.2022, 2022/İK-SYD/245) Md.22 §13 amatör haberleşme yöntemleri arasında Q kodları, mors, RTTY, SSTV, FSTV, PSK, PACTOR, AMPR, APRS ve TCP/IP'yi ismen sayar ve yalnızca üçüncü şahısların dinlemesini engelleyecek biçimde “kriptolu” iletişimi yasaklar; bu, ITU-RR Md.25 §25.2A'daki “anlam gizleme amacı” testiyle aynı doğrultudadır. Boşluk, ilkenin yokluğu değil, emisyon tipi tablolarının güncellenmemiş olmasıdır.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ITU-RR Md.25 §25.2A (WRC-03): 'Farkı ülkelerden amatör istasyonlar arası iletimler anlam gizleme amacıyla kodlanamaz.' FT8: açık protokol; Franke (K9AN), Somerville (G4WJS) ve Taylor (K1JT), "The FT4 and FT8 Communication Protocols", QEX Temmuz/Ağustos 2020. Winlink Open B2F: kamuya açık protokol belgesi (winlink.org/B2F, son revizyon Şubat 2018). Kaynak: oz5bir.dk/wp-content/uploads/2018/10/ITU-Artikel-25.pdf</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 xml:space="preserve">US: 47 CFR §97.113(a)(4) anlamı gizlemek amacıyla kodlanmış mesajları yasaklar. FCC DA 13-1918 (2013) acil durum haberleşmesinde şifrelemeye izin verilmesini isteyen RM-11699 dilekçesini reddetmiştir; FT8 hakkında bir karar veya test içermez. DE/GB: FT8 ve Winlink yayın kullanımında; soruşturma yok. TR: Hiçbir durum; ne açıkça serbest ne yasak.</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BTK'dan Talep: TAD (2018) güncellenmesiyle FT8, FT4, JS8Call, WSPR, Winlink/VARA, APRS'in emisyon tipi olarak listelenmesi; ITU-RR Md.25 §25.2A 'anlam gizleme amacı' testinin ulusal düzenlemede açıklanması.</w:t>
            </w:r>
          </w:p>
        </w:tc>
      </w:tr>
    </w:tbl>
    <w:p w:rsidR="00D23DE4" w:rsidRDefault="00EF56A4">
      <w:pPr>
        <w:spacing w:before="40" w:after="80"/>
      </w:pPr>
      <w:r>
        <w:rPr>
          <w:b/>
          <w:bCs/>
          <w:color w:val="555555"/>
          <w:sz w:val="17"/>
          <w:szCs w:val="17"/>
        </w:rPr>
        <w:t xml:space="preserve">Kaynak: </w:t>
      </w:r>
      <w:r>
        <w:rPr>
          <w:color w:val="2E75B6"/>
          <w:sz w:val="17"/>
          <w:szCs w:val="17"/>
        </w:rPr>
        <w:t>ITU-RR Md.25: oz5bir.dk/wp-content/uploads/2018/10/ITU-Artikel-25.pdf</w:t>
      </w:r>
    </w:p>
    <w:p w:rsidR="00D23DE4" w:rsidRDefault="00EF56A4">
      <w:pPr>
        <w:spacing w:before="40" w:after="80"/>
      </w:pPr>
      <w:r>
        <w:rPr>
          <w:b/>
          <w:bCs/>
          <w:color w:val="555555"/>
          <w:sz w:val="17"/>
          <w:szCs w:val="17"/>
        </w:rPr>
        <w:t xml:space="preserve">Kaynak: </w:t>
      </w:r>
      <w:r>
        <w:rPr>
          <w:color w:val="2E75B6"/>
          <w:sz w:val="17"/>
          <w:szCs w:val="17"/>
        </w:rPr>
        <w:t xml:space="preserve">Winlink Open B2F: winlink.org/B2F</w:t>
      </w:r>
    </w:p>
    <w:p w:rsidR="00D23DE4" w:rsidRDefault="00EF56A4">
      <w:pPr>
        <w:spacing w:before="40" w:after="80"/>
      </w:pPr>
      <w:r>
        <w:rPr>
          <w:b/>
          <w:bCs/>
          <w:color w:val="555555"/>
          <w:sz w:val="17"/>
          <w:szCs w:val="17"/>
        </w:rPr>
        <w:t xml:space="preserve">Kaynak: FT8 protokolü: Franke, Somerville, Taylor, QEX Temmuz/Ağustos 2020 (wsjt.sourceforge.io/FT4_FT8_QEX.pdf)</w:t>
      </w:r>
      <w:r>
        <w:rPr>
          <w:color w:val="2E75B6"/>
          <w:sz w:val="17"/>
          <w:szCs w:val="17"/>
        </w:rPr>
        <w:t xml:space="preserve"/>
      </w:r>
    </w:p>
    <w:p w:rsidR="00D23DE4" w:rsidRDefault="00D23DE4">
      <w:pPr>
        <w:spacing w:before="120"/>
      </w:pPr>
    </w:p>
    <w:p w:rsidR="00D23DE4" w:rsidRDefault="00EF56A4">
      <w:pPr>
        <w:pStyle w:val="Heading30"/>
      </w:pPr>
      <w:r>
        <w:t>GA-ENFORC — Yaptırım Asimetrisi, Topluluk Dinamikleri ve Role Erişim Yönetimi</w:t>
      </w:r>
    </w:p>
    <w:p w:rsidR="00D23DE4" w:rsidRDefault="00EF56A4">
      <w:pPr>
        <w:spacing w:before="80" w:after="120"/>
      </w:pPr>
      <w:r>
        <w:rPr>
          <w:b/>
          <w:bCs/>
        </w:rPr>
        <w:t>Sorun / Belirsizlik:</w:t>
      </w:r>
    </w:p>
    <w:p w:rsidR="00D23DE4" w:rsidRDefault="00EF56A4">
      <w:pPr>
        <w:spacing w:before="80" w:after="120"/>
      </w:pPr>
      <w:r>
        <w:t>BTK/KEGM'nin etkin müdahale mekanizması yalnızca lisanslı ve kimlik doğrulanabilen operatörlere karşı işlemektedir. Lisanssız veya anonim girişim yapanlar (role 'mandalcılığı', bilerek girişim) teknik tespit yetersizliği nedeniyle fiilen karşılıksız kalmaktadır. Bu asimetri topluluk dinamiğini olumsuz etkilemekte; yeni lisans sahipleri sürekli denetlenirken izinsiz girişimciler denetimsiz kalmaktadır.</w:t>
      </w:r>
    </w:p>
    <w:p w:rsidR="00D23DE4" w:rsidRDefault="00D23DE4">
      <w:pPr>
        <w:spacing w:before="6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5809 EHK Md.63: adli para cezaları (ör. Md.63/6, kodlu/kriptolu haberleşme) yalnız yetkilendirilmiş kişilere yönelik değildir; uygulamadaki sınır faili tespit edebilmektir. BTK: Girişim kaynağı tespiti teknik kapasiteye bağlıdır; anonim girişimcilere karşı etkin yasal araç sınırlıdır. Md.40: spektrum izleme ve denetimi, elektromanyetik girişimlerin tespiti ve giderilmesi Kurumca yürütülür; Md.59-60: Kurumun denetim ve idari yaptırım yetkileri. Kaynak tespiti kapasitesi mevzuatta tanımlı değildir.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ITU-RR Md.15: İdareler zararlı girişimleri önlemekle yükümlüdür. IARU: 'Frekans polisliği' (frequency poliçing) amatör topluluklarında uygun görülmez; denetim yetkisi yalnızca yetkili idarelere aittir. Bir amatör operatörün diğer operatörü denetleme hukuki yetkisi yoktur.</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 (FCC Part 97.101(d)): Girişim sorunları FCC'ye raporlanır; bireysel 'frekans polisliğine' FCC tarafından izin verilmemektedir. DE (DARC): Role erişim politikaları kulüp tüzüğünde şeffaf biçimde belirlenir; CTCSS/DCS ile teknik erişim yönetimi norm. GB: Ofcom'un girişim soruşturma yetkileri açık.</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BTK'dan Talep: (1) BTK'nin zararlı girişim tespit ve kaynak belirleme kapasitesinin arttırılması; (2) Role erişim politikalarının (CTCSS/DCS, erişim kuralları) role sahibi dernek tüzüğünde şeffaf belirlenmesine yönelik rehber; (3) Amatör toplulukları için girişim şikayet mekanizması.</w:t>
            </w:r>
          </w:p>
        </w:tc>
      </w:tr>
    </w:tbl>
    <w:p w:rsidR="00D23DE4" w:rsidRDefault="00D23DE4">
      <w:pPr>
        <w:spacing w:before="4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Dikkat: 'Frekans polisliğinin' yasal dayanağı olmadığını belgelemek hem yeni amatörleri koruyan hem de bu davranışa karşı argüman oluşturan pozitif bir çerçevedir. Kişiye yönelik olarak değil, kurumsal düzenleme eksikliği olarak sunulmalıdır.</w:t>
            </w:r>
          </w:p>
        </w:tc>
      </w:tr>
    </w:tbl>
    <w:p w:rsidR="00D23DE4" w:rsidRDefault="00EF56A4">
      <w:pPr>
        <w:spacing w:before="40" w:after="80"/>
      </w:pPr>
      <w:r>
        <w:rPr>
          <w:b/>
          <w:bCs/>
          <w:color w:val="555555"/>
          <w:sz w:val="17"/>
          <w:szCs w:val="17"/>
        </w:rPr>
        <w:t xml:space="preserve">Kaynak: </w:t>
      </w:r>
      <w:r>
        <w:rPr>
          <w:color w:val="2E75B6"/>
          <w:sz w:val="17"/>
          <w:szCs w:val="17"/>
        </w:rPr>
        <w:t>ITU-RR Md.15: itu.int/pub/R-REG-RR</w:t>
      </w:r>
    </w:p>
    <w:p w:rsidR="00D23DE4" w:rsidRDefault="00EF56A4">
      <w:pPr>
        <w:spacing w:before="40" w:after="80"/>
      </w:pPr>
      <w:r>
        <w:rPr>
          <w:b/>
          <w:bCs/>
          <w:color w:val="555555"/>
          <w:sz w:val="17"/>
          <w:szCs w:val="17"/>
        </w:rPr>
        <w:t xml:space="preserve">Kaynak: </w:t>
      </w:r>
      <w:r>
        <w:rPr>
          <w:color w:val="2E75B6"/>
          <w:sz w:val="17"/>
          <w:szCs w:val="17"/>
        </w:rPr>
        <w:t>FCC Part 97.101(d): ecfr.gov/current/title-47/chapter-I/subchapter-D/part-97/subpart-B/section-97.101</w:t>
      </w:r>
    </w:p>
    <w:p w:rsidR="00D23DE4" w:rsidRDefault="00D23DE4">
      <w:pPr>
        <w:spacing w:before="120"/>
      </w:pPr>
    </w:p>
    <w:p w:rsidR="00D23DE4" w:rsidRDefault="00D23DE4">
      <w:pPr>
        <w:spacing w:before="200"/>
      </w:pPr>
    </w:p>
    <w:p w:rsidR="00D23DE4" w:rsidRDefault="00EF56A4" w:rsidP="00824275">
      <w:pPr>
        <w:pStyle w:val="Heading30"/>
      </w:pPr>
      <w:r>
        <w:br w:type="page"/>
      </w:r>
      <w:r w:rsidRPr="00824275">
        <w:rPr>
          <w:sz w:val="24"/>
        </w:rPr>
        <w:t>GA-BAND: Belge Sınıfı Yetki Tablosu ve Eksik / TAD-Dışı Bantla</w:t>
      </w:r>
      <w:r w:rsidR="00F15ED0" w:rsidRPr="00824275">
        <w:rPr>
          <w:sz w:val="24"/>
        </w:rPr>
        <w:t>r</w:t>
      </w:r>
    </w:p>
    <w:p w:rsidR="00D23DE4" w:rsidRDefault="00EF56A4" w:rsidP="003A7C8F">
      <w:pPr>
        <w:pStyle w:val="Heading30"/>
      </w:pPr>
      <w:r w:rsidRPr="003A7C8F">
        <w:t>GA-BAND-1 — A/B/C Sınıfı Yetki Tablosunun Belirsizliği</w:t>
      </w:r>
    </w:p>
    <w:p w:rsidR="003A7C8F" w:rsidRPr="003A7C8F" w:rsidRDefault="003A7C8F" w:rsidP="003A7C8F">
      <w:pPr>
        <w:spacing w:before="80" w:after="120"/>
        <w:rPr>
          <w:b/>
          <w:bCs/>
        </w:rPr>
      </w:pPr>
      <w:r w:rsidRPr="003A7C8F">
        <w:rPr>
          <w:b/>
          <w:bCs/>
        </w:rPr>
        <w:t>Sorun:</w:t>
      </w:r>
    </w:p>
    <w:p w:rsidR="00D23DE4" w:rsidRDefault="00EF56A4">
      <w:pPr>
        <w:spacing w:before="60" w:after="100"/>
      </w:pPr>
      <w:r>
        <w:t xml:space="preserve">KEGM Sınav Yönetmeliği (RG 27482) A, B ve C sınıflarını tanımlar; sınıf bazlı yetkili frekans bantları, azami güç değerleri ve emisyon tipleri ise BTK FTM Teknik Ölçütler (BTK Kurul Kararı 23.09.2022, 2022/İK-SYD/245) Madde 22 ve Tablo 25'inde “İzin verilen belge sınıfı” sütunuyla birlikte yayımlanmıştır. Sorun tablonun yokluğu değil, atıf zincirinin kırık ve kaynağın dağınık oluşudur: (i) KEGM Sınav Yönetmeliği Md.18, yetki içeriği için 27/11/2018 tarihinde mülga edilen Özel Telsiz Sistemleri Yönetmeliği EK-4 Tablo-1'e atıf yapmayı sürdürmektedir — atıf zinciri kırıktır; (ii) yürürlükteki tablo Resmî Gazete'de değil, Kurum internet sitesinde yayımlanan bir Kurul Kararı ekindedir; (iii) aynı bilgi TAD (2018) ile FTM Teknik Ölçütler arasında bölünmüştür. Önemli tespitler: (a) 50-52 MHz yalnızca A ve B sınıfı için açıktır — C sınıfı kendi istasyonunda 50 MHz'i bağımsız kullanamaz. (b) B sınıfı amatör belgesine sahip telsizciler “eğitim ve özendirme” amacı ile kendi imalı (homebrew) cihaz ile 7000-7100 kHz ve 28000-29700 kHz bantlarında 5W ile faaliyet gösterebilir (FTM Teknik Ölçütler Tablo 25). (c) C sınıfı 144-146 MHz ve 430-440 MHz'deki alt segmentlerde en fazla 5 W verici çıkış gücüyle çalışabilir; ayrıca tüm sınıflar için el telsizlerinde FM modunda 5 W sınırı vardır (Tablo 25). (d) FTM Teknik Ölçütler Md.22 §10: B ve C sınıfı; dernek, eğitim kurumu, afet kuruluşu, izcilik ve araştırma kurumu istasyonlarında veya bir A sınıfı istasyonda sorumlu operatörün gözetiminde tüm amatör bantları ve emisyon tiplerini kullanabilir — bu hüküm 2022'den beri yürürlüktedir.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FTM Teknik Ölçütler (BTK Kurul Kararı 23.09.2022, 2022/İK-SYD/245) Madde 22 ve Tablo 25: Sınıf bazlı yetki satırları. 50-52 MHz: 'A ve B' (C sınıfı dahil değil). 144-146 MHz ile 430-440 MHz'deki altı alt segment (430.2-430.7, 431.550-431.825 [röle], 432.000-432.975, 433.400-433.575, 435.00-437.975, 439.150-439.425 [röle] MHz): "A, B ve C" (C sınıfı her cihazda en fazla 5 W; el telsizlerinde FM modunda 5 W sınırı tüm sınıflar için geçerlidir). 1240 MHz ve mikrodalga: 'A ve B'. HF bantları: genel olarak A sınıfı; istisnalar — 7000-7100 kHz ve 28000-29700 kHz: B sınıfı, kendi imalı cihaz, en fazla 5W, eğitim ve özendirme amacı. Md.22 §10: B ve C sınıfı, sorumlu operatör gözetiminde tüm amatör bantları ve emisyon tiplerini kullanabilir (2022'den beri yürürlükte). BTK TAD (2018) TAD08-01-04: 50-52 MHz, A ve B Sınıfı, 75W p.e.p. (FTM Teknik Ölçütler Tablo 25 aynı bant için 100 W verir; iki belge çelişmektedir) KEGM Sınav Yönetmeliği Md.18: yetki içerik atfı, FTM Yönetmeliği (RG 30608) Md.9 ile 27/11/2018'de mülga edilen Özel Telsiz Sistemleri Yönetmeliği EK-4 Tablo-1'e yapılmaya devam etmektedir — atıf zinciri kırıktır ve güncellenmesi gerekir.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CEPT T/R 61-01 (18 Ekim 2024 baskısı): Tier ayrımı içermez; tek bir CEPT lisansı düzeyi ve ülke bazlı denklik tablosu (Ek 2; Türkiye: A) vardır. ECC Recommendation (05)06: Novice/Standart iki katmanlı lisans çerçevesi. IARU R1 Bandplan: Sınıf bazlı sub-band önerileri (örneğin CW/SSB alt bantları).</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 (AFuV §2): Sınıf bazlı yetki tablosu tek belgede. GB (Ofcom NoV): Foundation/Intermediate/Full yetkiler PDF tabloda kamuya açık. US (FCC Part 97.301): Technician/General/Extra bant-sınıf tablosu.</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KEGM + BTK'dan Talep: (1) KEGM Sınav Yönetmeliği Md.18'deki mülga Özel Telsiz Sistemleri Yönetmeliği EK-4 Tablo-1 atfının, yürürlükteki FTM Teknik Ölçütler Madde 22 / Tablo 25 ile değiştirilmesi. (2) Sınıf yetki tablosunun, Kurum internet sitesinde yayımlanan Kurul Kararı ekiyle sınırlı kalmayıp amatör telsizciliğe özgü bir düzenlemede konsolide edilmesi ve Resmî Gazete düzeyinde erişilebilir kılınması. (3) FTM Teknik Ölçütler Tablo 25'teki B sınıfı 40m/10m homebrew provizyonu ile Md.22 §10 gözetimli erişim hakkının KEGM ve amatör telsiz dernek ve kulüpleri tarafından duyurulması; bu haklar yürürlükte olmasına rağmen camiada yeterince bilinmemektedir. (4) Sınıf yapısının CEPT T/R 61-01 Ek 2 denklik tablosu ve giriş seviyesi için ECC/REC/(05)06 ile uyumunun gözden geçirilmesi. (v1.2 notu: önceki sürümlerde bu talep T/R 61-01'de bir "Tier" yapısı bulunduğu varsayımına dayanıyordu; yürürlükteki baskıda böyle bir yapı yoktur.)</w:t>
            </w:r>
          </w:p>
        </w:tc>
      </w:tr>
    </w:tbl>
    <w:p w:rsidR="007B3791" w:rsidRDefault="00201410">
      <w:r>
        <w:rPr>
          <w:b/>
        </w:rPr>
        <w:t xml:space="preserve">Kaynak: </w:t>
      </w:r>
      <w:r>
        <w:t>docdb.cept.org, iaru-r1.org.</w:t>
      </w:r>
    </w:p>
    <w:p w:rsidR="003A7C8F" w:rsidRDefault="003A7C8F" w:rsidP="003A7C8F">
      <w:pPr>
        <w:pStyle w:val="Heading30"/>
      </w:pPr>
    </w:p>
    <w:p w:rsidR="00D23DE4" w:rsidRDefault="00EF56A4" w:rsidP="003A7C8F">
      <w:pPr>
        <w:pStyle w:val="Heading30"/>
      </w:pPr>
      <w:r w:rsidRPr="003A7C8F">
        <w:t>GA-BAND-2 — 4m Bandı (70.0-70.5 MHz): TR'de Tahsissiz</w:t>
      </w:r>
    </w:p>
    <w:p w:rsidR="003A7C8F" w:rsidRPr="003A7C8F" w:rsidRDefault="00EF56A4" w:rsidP="003A7C8F">
      <w:pPr>
        <w:spacing w:before="80" w:after="120"/>
        <w:rPr>
          <w:b/>
          <w:bCs/>
        </w:rPr>
      </w:pPr>
      <w:r w:rsidRPr="003A7C8F">
        <w:rPr>
          <w:b/>
          <w:bCs/>
        </w:rPr>
        <w:t xml:space="preserve">Sorun: </w:t>
      </w:r>
    </w:p>
    <w:p w:rsidR="00D23DE4" w:rsidRDefault="00EF56A4" w:rsidP="003A7C8F">
      <w:pPr>
        <w:pStyle w:val="Heading30"/>
      </w:pPr>
      <w:r>
        <w:rPr>
          <w:b w:val="0"/>
          <w:color w:val="2E75B6"/>
          <w:sz w:val="18"/>
        </w:rPr>
        <w:t>70-70.5 MHz bandı CEPT üyelerinin bir kısmında (GB, IE, NL, SK, DK vb.) amatör ikincil tahsislidir. BTK Milli Frekans Planı bu aralıkta amatör tahsis içermemektedir. ITU Region 1 Frekans Tablosunda ülke bazlı esneklik tanınan bir bölgededir.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MFP: 70-70.5 MHz amatör tahsis yok. TAD (2018): 50-52 MHz var, 70 MHz yok.</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ECA Tablosu (ERC Report 25) dipnotu ECA9: CEPT idareleri 69,9-70,5 MHz bandını amatör servise ikincil olarak açabilir (bazı üyeler uyguladı). IARU R1: 70.000-70.500 MHz koordinasyonu aktif.</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GB: 70.0-70.5 MHz Full/Intermediate lisansla serbest. IE, NL, SK, DK: ikincil tahsis aktif. GR (TR komşu): henüz yok. DE, FR: tahsis yok — CEPT üyelerinin tamamında değil, ülke bazlı esneklik var.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BTK'dan Talep: 70.0-70.5 MHz bandının BTK MFP'ye ikincil amatör tahsis olarak eklenmesi ve TAD'in güncellenmesi. ECA (ERC Report 25) dipnotu ECA9 ve IARU R1 bant koordinasyonu referans alınabilir.</w:t>
            </w:r>
          </w:p>
        </w:tc>
      </w:tr>
    </w:tbl>
    <w:p w:rsidR="007B3791" w:rsidRDefault="00201410">
      <w:r>
        <w:rPr>
          <w:b/>
        </w:rPr>
        <w:t xml:space="preserve">Kaynak: CEPT ECA Tablosu (ERC Report 25), dipnot ECA9: efis.cept.org</w:t>
      </w:r>
      <w:r>
        <w:t xml:space="preserve"/>
      </w:r>
    </w:p>
    <w:p w:rsidR="003A7C8F" w:rsidRDefault="003A7C8F" w:rsidP="003A7C8F">
      <w:pPr>
        <w:pStyle w:val="Heading30"/>
      </w:pPr>
    </w:p>
    <w:p w:rsidR="00D23DE4" w:rsidRDefault="00EF56A4" w:rsidP="003A7C8F">
      <w:pPr>
        <w:pStyle w:val="Heading30"/>
      </w:pPr>
      <w:r w:rsidRPr="003A7C8F">
        <w:t>GA-BAND-3 — Mikrodalga Bantları (2.4 / 3.4 / 5.7 / 10 / 24 GHz): MFP Var, TAD Yok</w:t>
      </w:r>
    </w:p>
    <w:p w:rsidR="003A7C8F" w:rsidRPr="003A7C8F" w:rsidRDefault="003A7C8F" w:rsidP="003A7C8F">
      <w:pPr>
        <w:spacing w:before="80" w:after="120"/>
        <w:rPr>
          <w:b/>
          <w:bCs/>
        </w:rPr>
      </w:pPr>
      <w:r w:rsidRPr="003A7C8F">
        <w:rPr>
          <w:b/>
          <w:bCs/>
        </w:rPr>
        <w:t>Sorun:</w:t>
      </w:r>
    </w:p>
    <w:p w:rsidR="00D23DE4" w:rsidRDefault="00EF56A4">
      <w:pPr>
        <w:spacing w:before="60" w:after="100"/>
      </w:pPr>
      <w:r>
        <w:rPr>
          <w:b/>
          <w:color w:val="2E75B6"/>
          <w:sz w:val="18"/>
        </w:rPr>
        <w:t xml:space="preserve">BTK MFP bazı mikrodalga aralıklarında ikincil amatör tahsisi içerir (ör. 5830-5850 MHz). 2400-2450 MHz'de ise MFP'nin Milli Plan sütununda amatör tahsisi yoktur; "Amateur" ibaresi yalnızca ITU Bölge-1 sütununda yer alır; aynı satırda Milli Plan sütununda HAVA MOBİL bulunur. Bu bantta eksik olan teknik şart değil tahsisin kendisidir. MFP 2023'ün Milli Plan sütununda amatör servis 5650-5850 MHz ile 10-10,5 GHz'de tali, 24-24,05 GHz'de asli ve 24,05-24,25 GHz'de tali olarak yer alır; 3,4 GHz'de (3300-3600 MHz) amatör tahsisi yoktur. FTM Teknik Ölçütler Tablo 25 ise 1240-1300, 5650-5670, 5820-5850, 10450-10452 ve 24000-24050 MHz'i A ve B sınıfına açar; TAD (2018) da TAD08-01-06'da bu bantları (47, 75,5 ve 134-142 GHz aralıklarıyla birlikte) A ve B sınıfı için azami 75 W verici gücü / 400 W p.e.p. ve emisyon tipleriyle tanımlar. Önceki sürümlerdeki "TAD'da bu bantlar için teknik şart yok" ifadesi yanlıştır; tahsisi bulunan bantlarda TAD'da eksik olan, emisyon listesinin geniş bantlı sayısal emisyonları (ör. Wi-Fi türü OFDM) kapsamamasıdır. Ayrıca MFP'nin amatöre tahsis ettiği aralıkların bir bölümü (5670-5820 MHz, 10000-10450 ve 10452-10500 MHz, 24050-24250 MHz) TAD ve FTM'de hiç yer almaz; bu aralıklar için "MFP var, TAD yok" tespiti geçerlidir. 2,4 ve 3,4 GHz ise TAD'da yer almaz.</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TAD (2018) TAD08-01-06: 1240-1300, 5650-5670, 5820-5850, 10450-10452, 24000-24050, 47000-47200, 75500-76000 ve 134000-142000 MHz; A ve B sınıfı, azami 75 W verici gücü / 400 W p.e.p.; emisyon tipleri A1A-R3E arası 21 tip (ses, telgraf, faks, ATV) — listede veri (D) veya geniş bantlı sayısal emisyon yok. 2,4 ve 3,4 GHz TAD'da yer almaz. FTM Teknik Ölçütler Tablo 25 aynı bantları A ve B sınıfına açar. MFP 2023 Milli Plan sütunu: 5650-5850 MHz, 10-10,5 GHz ve 24-24,25 GHz amatör; 3,4 GHz'de amatör yok; 2300-2450 MHz'de HAVA MOBİL, amatör yok.</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VHF/UHF/SHF Bandplan: 2320-2450 MHz, 3400-3410 MHz, 5.7 GHz, 10 GHz ve üzeri bantlar için segment ve emisyon önerileri. WRC-19/23: ilgili mikrodalga amatör statüleri korunmuştur.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DE/GB/US: 2.4 GHz, 3.4 GHz, 10 GHz, 24 GHz amatör lisans kapsamında; ulusal TAD muadili belgelerde teknik şartlar tanımlı. 2.4 GHz en yaygın kullanılan amatör mikrodalga bandıdır (ATV, spread spectrum).</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BTK'dan Talep: MFP'de amatöre tahsisli olup TAD08-01-06 ve FTM Tablo 25'te yer almayan aralıkların (5670-5820 MHz, 10000-10450 ve 10452-10500 MHz, 24050-24250 MHz) TAD ve FTM'ye eklenmesi; TAD08-01-06 emisyon listesinin geniş bantlı sayısal emisyonları kapsayacak biçimde gözden geçirilmesi (v1.3 notu: önceki sürümlerdeki "ek teknik şart belgesi" talebi, bu bantların TAD'da hiç tanımlanmadığı varsayımına dayanıyordu). 2.4 GHz'de MFP'de amatör tahsisi bulunmadığından bu bantta talep önce tahsise yöneliktir; Wi-Fi paydaşlarıyla koordinasyon çerçevesi ayrıca belirlenmeli.</w:t>
            </w:r>
          </w:p>
        </w:tc>
      </w:tr>
    </w:tbl>
    <w:p w:rsidR="007B3791" w:rsidRDefault="00201410">
      <w:r>
        <w:rPr>
          <w:b/>
        </w:rPr>
        <w:t xml:space="preserve">Kaynak: </w:t>
      </w:r>
      <w:r>
        <w:t>iaru-r1.org (VHF/UHF/SHF Bandplan bölümü)</w:t>
      </w:r>
    </w:p>
    <w:p w:rsidR="00F15ED0" w:rsidRDefault="00F15ED0" w:rsidP="003A7C8F">
      <w:pPr>
        <w:pStyle w:val="Heading30"/>
      </w:pPr>
    </w:p>
    <w:p w:rsidR="00D23DE4" w:rsidRDefault="00EF56A4" w:rsidP="003A7C8F">
      <w:pPr>
        <w:pStyle w:val="Heading30"/>
      </w:pPr>
      <w:r>
        <w:t>GA-ARAC — Araçta Amatör Telsiz Kullanımı</w:t>
      </w:r>
    </w:p>
    <w:p w:rsidR="003A7C8F" w:rsidRPr="003A7C8F" w:rsidRDefault="003A7C8F" w:rsidP="003A7C8F">
      <w:pPr>
        <w:spacing w:before="80" w:after="120"/>
        <w:rPr>
          <w:b/>
          <w:bCs/>
        </w:rPr>
      </w:pPr>
      <w:r w:rsidRPr="003A7C8F">
        <w:rPr>
          <w:b/>
          <w:bCs/>
        </w:rPr>
        <w:t>Sorun:</w:t>
      </w:r>
    </w:p>
    <w:p w:rsidR="00D23DE4" w:rsidRDefault="00EF56A4">
      <w:r>
        <w:t xml:space="preserve">Amatör telsizciler sabit montaj (kırbaç anten) veya el telsizi ile araçlarında amatör telsiz kullanmak istemektedir. Üç ayrı hukuki mesele mevcuttur: (a) Araca anten montajı (kablo delinmesi, montaj, ruhsata işlenme) KTK Md.32 kapsamında araç değişikliği olarak değerlendirilip değerlendirilmeyecegi; (b) Araç kullanırken el telsizi tutmanın trafik mevzuatı açısından durumu; (c) Kurumsal/şirket araçları için is veren izninin gerekip gerektirmediği.</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FTM Teknik Ölçütler Tablo 25: 'Amatör telsiz istasyonu' tanımı açıkça 'sabit, araç ve el telsiz cihazları' ni kapsar; araça montajlı amatör telsiz FTM muafiyeti kapsamındadır, ayrıca kürülüm izni gerekmez. 2918 Sayılı KTK Md.32: araç üzerinde mevzuata uygun yapılan her türlü değişikliğin otuz gün içinde tescil belgesine/kayıtlarına işletilmesi zorunludur; mevzuata aykırı değişiklik yasaktır. Kırbaç anten montajının (saç delme/kablo geçirme) bu kapsamda "değişiklik" sayılıp sayılmayacağı mevzuatta açık değildir. KTK Md.72: araçlarda haberleşme cihazları yönetmelikte gösterilen şartlara uygun olarak kullanılabilir. KTK Md.73/1: seyir hâlinde sürücülerin cep ve araç telefonu ile benzer haberleşme cihazlarını kullanması yasaktır; idari para cezası Md.73/2'dedir (12/2/2026 tarihli ve 7574 sayılı Kanunla değişik). Kanun metni "elde tutma" değil "kullanma" ifadesini kullanır ve eller serbest kullanım için ayrı bir istisna içermez; el telsizinin "benzer haberleşme cihazı" sayılıp sayılmayacağı ve eller serbest kullanımın durumu uygulamaya ilişkin yönetmelik hükümlerine bağlıdır (bu çalışmada incelenmedi). Kurumsal araçlar: İş veren yönetmeliğine, iş yerinin iç düzenlemesine ve araç şoför sözleşmesine bağlı.</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IARU R1 operasyonel rehberinde mobil/araç istasyonu kurulumuna ilişkin tavsiyeler mevcuttur. CEPT T/R 61-01: ziyaretçi amatör lisansı (geçici kalış süresince kullanım; genel bir gün sınırı yok); T/R 61-02: HAREC (üç aydan uzun kalışlar için); araç tescili ile lisans taşıyan arasında eşleşmesi gereken bir düzenleme yoktur. Pratik uluslararası standart: araç anteni için mag-mount veya NMO flanşı yaygındir; kalıcı montaj tercih edilir.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 (AFuV): Sabit araç telsizi montajı için araç muayenesinde sınıflandırılmış değişiklik sayılmaz; araç ruhsatina işlenme zorunlu değil. GB (Ofcom): 'Mobile amateur station' lisans şartnamesi kapsamında; sürüş sırasında hands-free yasal zorunluluk. US (FCC Part 97): Mobil istasyon tanımlı, anten montajı araç muayenesine tabi değil. Genel kural: trafik kuralları hands-free yükümlülükleri her ülkede amatörleri de kapsar.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Pratik Çözüm</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(1) Anten montajı için mag-mount veya NMO flanşı tercih edilmeli; saç delme zorunlu ise yetkili araçciya yaptırmak ve araç bakım kaydına işletmek iyi uygulama. (2) KTK Md.73/1 seyir hâlinde haberleşme cihazı "kullanmayı" yasaklar ve eller serbest kullanım için ayrı istisna öngörmez; sürüş sırasında telsiz kullanmamak en güvenli yoldur. (3) BTK'dan Talep: Mobil amatör istasyon tanımı ve anten montajı konusunda net bir duyuru/kılavuz yayımlanması. Referans: 2918 KTK Md.32, Md.72, Md.73; BTK FTM Teknik Ölçütler Tablo 25 (araçları içerir).</w:t>
            </w:r>
          </w:p>
        </w:tc>
      </w:tr>
    </w:tbl>
    <w:p w:rsidR="003A7C8F" w:rsidRDefault="003A7C8F" w:rsidP="003A7C8F">
      <w:pPr>
        <w:pStyle w:val="Heading30"/>
      </w:pPr>
    </w:p>
    <w:p w:rsidR="003A7C8F" w:rsidRDefault="003A7C8F" w:rsidP="003A7C8F">
      <w:pPr>
        <w:pStyle w:val="Heading30"/>
      </w:pPr>
    </w:p>
    <w:p w:rsidR="00D23DE4" w:rsidRDefault="00EF56A4" w:rsidP="003A7C8F">
      <w:pPr>
        <w:pStyle w:val="Heading30"/>
      </w:pPr>
      <w:r>
        <w:t>GA-POTA — Park ve Koru Aktivasyonunda Arazi Kullanım İzinleri</w:t>
      </w:r>
    </w:p>
    <w:p w:rsidR="003A7C8F" w:rsidRPr="003A7C8F" w:rsidRDefault="00EF56A4" w:rsidP="003A7C8F">
      <w:pPr>
        <w:spacing w:before="80" w:after="120"/>
        <w:rPr>
          <w:b/>
          <w:bCs/>
        </w:rPr>
      </w:pPr>
      <w:r w:rsidRPr="003A7C8F">
        <w:rPr>
          <w:b/>
          <w:bCs/>
        </w:rPr>
        <w:t>Sorun:</w:t>
      </w:r>
    </w:p>
    <w:p w:rsidR="00D23DE4" w:rsidRDefault="00EF56A4">
      <w:r>
        <w:t xml:space="preserve">POTA (Parks on the Air) aktivasyonları amatör telsiz programı olarak giderek yaygınlaşmaktadır. FTM muafiyeti yalnızca frekans spektrumu kullanımını kapsar; araziye erişim, konaklama ve anten kurulumu için arazi sahibi kurumun izni ayrı bir hukuki meseledir. Hangi parkta, kime, ne için başvurulacağı netlik kazanmamıştır. Süreci belgelenmiş örnekler de vardır: İstanbul Büyükşehir Belediyesi'nin Kamu Hizmet Envanteri (Park ve Bahçeler Dairesi Başkanlığı, 2026), İBB'ye ait park ve yeşil alanlarda "her türlü aktivite ve etkinlik" için dilekçeyle başvurulan bir izin süreci tanımlar. Ancak bu belgede "bireysel kullanım" ile izne tabi "aktivite" arasındaki sınır tanımlı değildir; gri alanın kendisi bu sınırdır.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2873 Sayılı Milli Parklar Kanunu: Milli park sınırları içinde ticari veya organizasyonel faaliyet Tarım ve Orman Bakanlığı Doğa Koruma ve Milli Parklar Genel Müdürlüğü (DKMP; 2873 Md.2) veya ilgili milli park müdürlüğü izni gerektirir; bireysel piknik nitelikli kısa süreli aktivasyonun pratikte izin gerektirmediği ileri sürülmektedir (iddia; kaynağa dayanmıyor); yüksek anten (&gt; 3-5 m) veya tekrar ziyaret için yazılı bildirim/izin almak sağlıklı uygulama. 6831 Sayılı Orman Kanunu: Devlet orman arazilerinde faaliyet Orman Genel Müdürlüğü (OGM) / Orman Bölge Müdürlüğü onayına tâbidir; bireysel rekreasyon (yurüyüş, piknik) serbest bırakılmış alanlarda serbest; anten dikme veya ateş yakma yasak. 5216 / 5393 Sayılı Belediye Kanunları: park ve yeşil alanlar, mülkiyet ve yönetimine göre büyükşehir belediyesinin veya ilçe belediyesinin park ve bahçeler birimindedir; muhatap alanı yöneten belediyedir. Örnek: İstanbul Büyükşehir Belediyesi'nin Kamu Hizmet Envanteri (Park ve Bahçeler Dairesi Başkanlığı, 2026), İBB'ye ait park ve yeşil alanlarda "her türlü aktivite ve etkinlik" için dilekçeyle başvurulan bir izin süreci tanımlar (Anadolu Yakası veya Avrupa Yakası Park ve Bahçeler Şube Müdürlüğü; öngörülen süre 2 hafta / 30 gün); değerlendirmeye Zabıta ve Gelirler müdürlükleri katılır ve izin verilen etkinliğin saha takibi yapılır. İBB'nin tarihi koru ve kent ormanlarındaki aktivite izinlerini ayrı bir birim (Kentsel Ekolojik Sistemler Şube Müdürlüğü) düzenler; envanterde bu hizmetten yararlananlar yalnızca kamu kurumları olarak gösterilir. Kısa süreli bireysel kullanımın izne tabi olup olmadığı belgede ayrıca tanımlanmamıştır; diğer belediyelerin süreci farklı olabilir. 3621 Sayılı Kıyı Kanunu: kıyıda (kıyı çizgisi ile kıyı kenar çizgisi arası) hiçbir yapı yapılamaz ve engel oluşturulamaz (Md.6); sahil şeridi en az 100 m'dir (Md.4) ve sahil şeridindeki yapılar kıyı kenar çizgisine en fazla 50 m yaklaşabilir (Md.5). Geçici anten direğinin "yapı" sayılıp sayılmayacağı mevzuatta açık değildir. İBB Deniz Hizmetleri Şube Müdürlüğü, halka açık alanlarda toplantı, etkinlik ve stant kurulumu için izin verme yetkisi bulunmadığını ve izne tabi etkinlikler için iznin "ilgili mülki idarelerden" alınması gerektiğini belirtir. Tarihi koruma alanları: Kültürel Miras ve Müzeler Genel Müdürlüğü izni şart. Mülki idare: İBB'nin atıf yaptığı mülki idare izninin dayanağı belirtilmemiştir; 2911 sayılı Toplantı ve Gösteri Yürüyüşleri Kanunu izin değil, en az 48 saat önceden valilik veya kaymakamlığa bildirim öngörür (Md.3, Md.10); "toplantı"yı belirli konularda halkı aydınlatıp kamuoyu oluşturma amacıyla tanımlar (Md.2/a) ve spor faaliyetleri ile bilimsel amaçlı toplantıları kapsam dışında bırakır (Md.4/c). Bir POTA aktivasyonunun veya kulüp tanıtım standının bu kapsama girip girmediği yoruma açıktır. KEGM: KEGM Sınav ve Belgelendirme Yönetmeliği Md.8 uyarınca özel etkinlik çağrı işareti (en az 10 gün önce başvuru, 60 güne kadar) yalnızca çağrı işareti tahsisidir; etkinlik yerinin kullanımına ilişkin bir izin içermez.</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ETG (Emergency Telecommunications Guide): Sahada kurulum rehberi; bireysel aktivasyon izin gereksinimlerini ulusal mevzuata bırakmıştır. POTA.app: Uluslararası park aktivasyon programı, Türkiye'deki milli parkları ve orman alanlarını sisteme dahil etmiştir. IARU R1 Bölge 1 Türkiye üyesi (dernek ve kulüpler) bu konuda resmi rehber yayımlamamistir.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GB: National Trust ve Natural England arazilerinde POTA aktivasyonu için önceden bildirim veya ücretsiz izin prosedürü uygulanmaktadır. US: National Park Service (NPS) 'special use permit' gerektirmekte; ancak kısa süreli, düşük etkili amatör operasyonlar çoğu zaman muaf tutulmaktadır. DE: Bundeswaldgesetz kapsamında ormanda yürüyüş serbest, anten kurulum prosedürü eyalete göre değişir. TR komşuları (GR, BG): Milli park sınırları içinde RF emisyonu için ayrı bir kural yok; genel doğal alan kullanım kuralları geçerli.</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Pratik Çözüm</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(1) Belediye parklarında alanın hangi belediyeye (büyükşehir veya ilçe) ait olduğunu belirleyip o belediyenin park ve bahçeler birimine önceden danışmak; anten direği, masa veya çadır gibi kurulum içeren ya da grup hâlinde yapılan aktivasyonlarda yazılı izin almak (İBB'de dilekçe, 2 hafta / 30 gün). Önceki sürümlerdeki "anten 3 m'nin altındaysa belediye parklarında genellikle izin gerekmez" ifadesi bir kaynağa dayanmıyordu ve kaldırıldı. (2) Milli park sınırları içinde milli park müdürlüğüyle email/telefon ile önceden bilgi alınması önerilir. (3) BTK ve amatör telsiz dernek ve kulüpleri'dan Talep: POTA aktivasyonu için birleşik izin kılavuzu (hangi kurum tablosu) hazırlanması; kılavuzda FTM muafiyetinin ve KEGM çağrı işareti tahsisinin yer kullanım izni yerine geçmediğinin açıkça belirtilmesi; yurt içi POTA referans listesi oluşturulması. Referans: 2873 Milli Parklar Kanunu; 2911 Toplantı ve Gösteri Yürüyüşleri Kanunu Md.2-4, 10; KEGM Yön. Md.8; İBB Kamu Hizmet Envanteri (Park ve Bahçeler, 2026); 6831 Orman Kanunu Md.17; 5393 Belediye Kanunu Md.14/15; 3621 Kıyı Kanunu; BTK FTM Teknik Ölçütler (spektrum kullanımı FTM muaf).</w:t>
            </w:r>
          </w:p>
        </w:tc>
      </w:tr>
    </w:tbl>
    <w:p w:rsidR="00D23DE4" w:rsidRDefault="00EF56A4" w:rsidP="003A7C8F">
      <w:pPr>
        <w:pStyle w:val="Heading30"/>
      </w:pPr>
      <w:r>
        <w:t>GA-AREDN -- AREDN Amatör Mesh Ağının Hukuki Statüsü</w:t>
      </w:r>
    </w:p>
    <w:p w:rsidR="003A7C8F" w:rsidRPr="003A7C8F" w:rsidRDefault="003A7C8F" w:rsidP="003A7C8F">
      <w:pPr>
        <w:spacing w:before="80" w:after="120"/>
        <w:rPr>
          <w:b/>
          <w:bCs/>
        </w:rPr>
      </w:pPr>
      <w:r w:rsidRPr="003A7C8F">
        <w:rPr>
          <w:b/>
          <w:bCs/>
        </w:rPr>
        <w:t>Sorun:</w:t>
      </w:r>
    </w:p>
    <w:p w:rsidR="00D23DE4" w:rsidRDefault="00EF56A4">
      <w:r>
        <w:t xml:space="preserve">AREDN (Amateur Radio Emergency Data Network), Ubiquiti ve benzeri WiFi donanımı için özel firmware kullanarak 2.4 GHz, 3.4 GHz ve 5.8 GHz amatör bantlarında 802.11n/ac protokolünde mesh ağ kurulmaktadır. TR'de 5,8 GHz'de (5830-5850 MHz) ikincil amatör tahsisi vardır; 2400-2450 MHz'de ise MFP'nin Milli Plan sütununda amatör tahsisi yoktur; 5650-5670 ve 5820-5850 MHz ise FTM Teknik Ölçütler Tablo 25 ve TAD08-01-06'da A ve B sınıfı için güç ve emisyon tipleriyle tanımlıdır; ancak listelenen emisyon tipleri AREDN'in kullandığı geniş bantlı sayısal (802.11 OFDM) emisyonları kapsamaz. Ek belirsizlik: AREDN donanımları, hem amatör lisans gerektiren bantlarda hem de FTM-muaf 2.4 GHz ISM frekanslarında (2400-2483.5 MHz) çalışabilmektedir.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BTK MFP: 2400-2450 MHz'de Milli Plan sütununda amatör tahsisi yok ("Amateur" yalnızca ITU Bölge-1 sütununda); 5830-5850 MHz ikincil amatör tahsisli. FTM Teknik Ölçütler Tablo 25: 5650-5670 MHz ve 5820-5850 MHz 'A ve B Sınıfı' olarak listeli; 2.4 GHz ve 3.4 GHz için spesifik amatör parametre yok. TAD (2018) TAD08-01-06: 5650-5670 ve 5820-5850 MHz dahil mikrodalga amatör bantlarını A ve B sınıfı için 75 W / 400 W p.e.p. ve emisyon tipleriyle tanımlar; listede 802.11 türü geniş bantlı sayısal emisyon yoktur. 2400-2483.5 MHz'de FTM Teknik Ölçütler yalnızca KET/genişband rejimini tanımlar (Tablo 1 sıra 25: 10 mW e.i.r.p.; Tablo 3 sıra 3: 100 mW e.i.r.p.); bu bantta amatör rejime dayalı kullanım MFP'de ve Tablo 25'te tanımlı değildir. AREDN donanıminin 'kendi imalı cihaz' sayılıp sayılmayacağı da ayrı bir soru.</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VHF/UHF/SHF Bandplan: 2320-2450 MHz, 3400-3410 MHz, 5760-5790 MHz amatör bandplan segmentleri tanımlı. AREDN uluslararası topluluk projesi: aredn.org; US ARRL onaylı. CEPT ECC: Mikrodalgada amatör ikincil tahsis uygulamaları ülke bazlı. WRC-19: 2.4 GHz'i değiştirmedi.</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 AREDN FCC Part 97 kapsamında yasal; 2.4/5.8 GHz amatör bantlarda aktif ağ. DE: BNetzA'ya göre 2.4 GHz amatör kullanım yasaldır, maksimum güç sınırlarına uyulması şart. GB: Ofcom NoV (Notice of Variation) ile Full lisans sahiplerine 2.4 GHz amatör kullanım açık.</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BTK + KEGM'den Talep: (1) 5.8 GHz amatör segmentinde AREDN'in kullandığı geniş bantlı sayısal emisyonların TAD08-01-06 emisyon listesine eklenmesi; 2.4 GHz için önce MFP'de amatör tahsisi yapılıp yapılmayacağının değerlendirilmesi. (2) AREDN ve benzeri mesh protokollerinin FTM-muaf WiFi donanımıyla amatör bantlarda kullanılıp kullanılmayacağının netleştirilmesi. (3) 'Kendi imali cihaz' tanımı: firmware değiştirilen ticari donanım bu kapsamda değerlendirilmeli. Referans: BTK FTM Tablo 25; BTK MFP; TAD (2018) TAD08-01-06; IARU R1 VHF/UHF/SHF Bandplan.</w:t>
            </w:r>
          </w:p>
        </w:tc>
      </w:tr>
    </w:tbl>
    <w:p w:rsidR="00D23DE4" w:rsidRDefault="00EF56A4" w:rsidP="003A7C8F">
      <w:pPr>
        <w:pStyle w:val="Heading30"/>
      </w:pPr>
      <w:r>
        <w:t>GA-LORA -- LoRa, Meshtastic ve LoRa-APRS: SRD-Amatör Lisansı Sınır Bölge</w:t>
      </w:r>
    </w:p>
    <w:p w:rsidR="003A7C8F" w:rsidRPr="003A7C8F" w:rsidRDefault="00EF56A4" w:rsidP="003A7C8F">
      <w:pPr>
        <w:spacing w:before="80" w:after="120"/>
        <w:rPr>
          <w:b/>
          <w:bCs/>
        </w:rPr>
      </w:pPr>
      <w:r w:rsidRPr="003A7C8F">
        <w:rPr>
          <w:b/>
          <w:bCs/>
        </w:rPr>
        <w:t>Sorun:</w:t>
      </w:r>
    </w:p>
    <w:p w:rsidR="00D23DE4" w:rsidRDefault="00EF56A4">
      <w:r>
        <w:t>LoRa (Long Range) RF modülasyon teknolojisi ve bu teknolojiyi kullanan Meshtastic mesh paging sistemi ile LoRa-APRS, birçok frekans bandında çalışabilmektedir. Türkiye'de hangi frekansin lisanssız (FTM-muaf SRD), hangisinin amatör lisansı gerektirdiği, 915 MHz'in yasal olmadığı ve amatör çağrı işareti ile yapılan iletişimin SRD cihaz rejiminden çıkıp amatör rejime girip girmeyeceği konularında belirsizlik vardır.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 -- Frekans Bazlı Analiz</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(a) 433.05-434.79 MHz: BTK FTM Teknik Ölçütler (2022) Tablo 1, Sıra 15a: 10 mW e.r.p., görev çevrimi &lt;%10, ses dışındaki analog audio ve analog video uygulamaları hariç (analog ses serbest) -- LoRa/Meshtastic EU 433 MHz preset bu kapsamda FTM-muaf, lisanssız kullanılabilir. ANCAK: 430-440 MHz amatör bandındadır; amatör amacıyla (çağrı işareti ile) kullanılırsa FTM-muaf SRD rejimi yerine amatör lisansı rejimi geçerlidir ve güç 75W'a kadar çıkar. (b) 868 MHz (863-870 MHz): BTK FTM Tablo, Sıra 18a-d / 19-22: 25 mW e.r.p., duty cycle/LBT kuralları -- LoRa/Meshtastic EU 868 MHz preset bu kapsamda FTM-muaf, lisanssız yasal. Türkiye için BIRINCIL LoRa frekans seçimidir. 869.4-869.65 MHz: 500 mW e.r.p.'a kadar izin. (c) 915 MHz: Türkiye'de FTM tablosunda yer almaz. 900-960 MHz bandı GSM-900/LTE Band 8 hücresel spektrumdur. 915 MHz Meshtastic firmware preset ile cihaz kullanmak bu bantta YASA DIŞIDIR; hücresel altyapıya girişim riski vardır ve BTK tarafından işlem yapılabilir. İthal edilen birçok LoRa/Meshtastic cihaz 915 MHz için üretilmiştir -- Türkiye'de kullanilmadan önce firmware ile 868 MHz'e alınmalıdır.</w:t>
            </w:r>
            <w:r>
              <w:rPr>
                <w:i/>
                <w:iCs/>
                <w:sz w:val="18"/>
                <w:szCs w:val="18"/>
              </w:rPr>
              <w:br/>
              <w:t>LoRa-APRS Frekansları: (1) 144.800 MHz: Avrupa standart APRS frekans -- amatör bandı, amatör lisansı gerektirir; LoRa modunda kullanım teknik olarak mümkündür ancak 144 MHz'de LoRa emisyonu bandplan ile uyumlu olup olmadığı IARU R1'de tartışılıyor. (2) 433.775 MHz: LoRa-APRS için Avrupa amatör toplulukça yaygın kullanılan frekans (OE5BPA projesi gibi). 433 MHz SRD sınırlarında (10 mW, %10 DC): lisanssız FTM-muaf olarak çalışabilir. Ancak APRS iletişimlerinde çağrı işareti gönderimi amatör operasyon sayılır, bu durumda lisans gerekir. Gri alan: sadece konum (no callsign) = SRD; callsign ile = amatör. (3) 868 MHz LoRa-APRS: SRD bandında, lisanssız I-gate (RX-only) kurulumu mümkündür; TX (beacon gönderimi callsign ile) amatör lisansı gerektirir.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IARU R1: LoRa-APRS için resmi bandplan kararı yok; 433.775 MHz topluluk uygulaması. APRS Foundation: 144.800 MHz standart; LoRa-APRS paralel gelişim. ERC/ECC: 863-870 MHz SRD harmonizasyonu TS EN 300 220 standardı -- Türkiye dahil.</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DE/AT/NL: Meshtastic 868 MHz FTM-muaf, yaygın kullanım, dernek rehberleri mevcut. GB: LoRa 868 MHz lisanssız; 433 MHz LoRa SRD kapsamında. US: 915 MHz ISM bandında, lisanssız yasal -- Türkiye ile UYUMSUZ. AU/NZ: 915 MHz; Asya'da bazı ülkeler 923 MHz -- ülke spesifik.</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Pratik Çözüm</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 xml:space="preserve">(1) Meshtastic kullanıcıları: Firmware'i mutlaka EU 868 MHz preset'e alın; 915 MHz Türkiye'de yasadışı. 433 MHz EU preset: lisanssız SRD olarak kullanılabilir, amatör callsign eklenmemeli ya da amatör lisansı ile kullanılmalı. (2) LoRa-APRS: 433.775 MHz veya 868 MHz I-gate (RX-only): lisanssız; TX beacon (callsign ile) için amatör lisansı gerekir. (3) AREDN: 5.8 GHz amatör segmentinde amatör belgesi ve çağrı işareti yayını gerekir; 2.4 GHz'de MFP'de amatör tahsisi yoktur. (4) BTK'dan Talep: 433 MHz SRD ve amatör bant çaprazlaşması için net sınır belirlenmesi; 915 MHz kullanan ithal cihazlar hakkında tüketici uyarısı; LoRa-APRS TX durumunun amatör mi SRD mi sayılacağının açıklanması. Referans: BTK FTM Teknik Ölçütler (2022) Tablo 1 Sıra 15a (433 MHz), 18a-d/19 (868 MHz); BTK MFP 900-960 MHz tahsis (hücresel); IARU R1 Bandplan; TS EN 300 220.</w:t>
            </w:r>
          </w:p>
        </w:tc>
      </w:tr>
    </w:tbl>
    <w:p w:rsidR="003A7C8F" w:rsidRDefault="003A7C8F">
      <w:pPr>
        <w:rPr>
          <w:b/>
        </w:rPr>
      </w:pPr>
    </w:p>
    <w:p w:rsidR="00245ED4" w:rsidRDefault="00310E17" w:rsidP="003A7C8F">
      <w:pPr>
        <w:pStyle w:val="Heading30"/>
      </w:pPr>
      <w:r w:rsidRPr="003A7C8F">
        <w:t xml:space="preserve">GA-SK — Silent Key, Çağrı İşareti Yaşam Döngüsü ve </w:t>
      </w:r>
      <w:r w:rsidR="003A7C8F">
        <w:t>Vesayet</w:t>
      </w:r>
    </w:p>
    <w:p w:rsidR="003A7C8F" w:rsidRPr="003A7C8F" w:rsidRDefault="003A7C8F" w:rsidP="003A7C8F">
      <w:pPr>
        <w:spacing w:before="80" w:after="120"/>
        <w:rPr>
          <w:b/>
          <w:bCs/>
        </w:rPr>
      </w:pPr>
      <w:r w:rsidRPr="003A7C8F">
        <w:rPr>
          <w:b/>
          <w:bCs/>
        </w:rPr>
        <w:t>Sorun:</w:t>
      </w:r>
    </w:p>
    <w:p w:rsidR="00245ED4" w:rsidRDefault="00310E17">
      <w:r w:rsidRPr="003A7C8F">
        <w:t>KEGM Sınav ve Belgelendirme Yönetmeliği Md.7, iki ayrı hüküm içerir: Md.7/1 — belgenin yenilenmemesi, organizasyon feshi, bölge değişikliği, KEGM iptali veya sahibinin vazgeçmesi hâllerinde çağrı işareti 10 yıl yeniden tahsis edilmez (vefat bu fıkrada sayılmaz). Md.7/2 — vefat veya vesayet hâlinde ayrı ve daha esnek bir hüküm işler: belgenin geçerlilik süresi içinde olmak, aynı bölgede ikamet etmek ve eşdeğer belgeye sahip olmak kaydıyla, hak sahipliğini belgeleyen varis/vasiye çağrı işareti tahsis EDİLEBİLİR. Yani vesayet yolu, camiada yaygın 'tanımsız/hukuki dayanaksız' algısının aksine tanımlıdır; ancak dardır: (a) yalnızca orijinal belgenin 10 yıllık süresi içinde işler, süre sonrası akıbet mevzuatta açık değildir; (b) varis/vasinin zaten eşdeğer sınıfta belge sahibi olması gerekir — belgesiz aile üyeleri kapsam dışıdır; (c) aynı bölgede ikamet şartı coğrafi engel olabilir; (d) tahsis KEGM takdirindedir ('edilebilir'), güvenceli değildir.</w:t>
      </w:r>
    </w:p>
    <w:p w:rsidR="003A7C8F" w:rsidRDefault="003A7C8F"/>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KEGM Sınav ve Belgelendirme Yönetmeliği (RG 27482) Md.7/1 (10 yıl bekletme; vefat hariç) ve Md.7/2 (vefat/vesayette şartlı varis/vasi tahsisi).</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Uluslararası 'Silent Key' geleneği yerleşik; bazı idarelerde aileye/kulübe in-memoriam tahsis mümkün. Bağlayıcı IARU politikası yok.</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 (FCC): SK çağrı işareti aileye/kulübe 'vanity' ile tahsis edilebilir. DE/GB: anıt/kulüp tahsisi uygulamaları var.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KEGM'den: (1) Md.7/2'nin belge süresi sonrası akıbetinin netleştirilmesi; (2) 'eşdeğer belge sahibi olma' şartının aile üyeleri için esnetilip esnetilemeyeceğinin değerlendirilmesi; (3) bu mekanizmanın topluluğa rehberle duyurulması; (4) kalıcı 'anıt' statüsü gibi ek seçeneklerin değerlendirilmesi.</w:t>
            </w:r>
          </w:p>
        </w:tc>
      </w:tr>
    </w:tbl>
    <w:p w:rsidR="003A7C8F" w:rsidRDefault="003A7C8F">
      <w:pPr>
        <w:rPr>
          <w:b/>
        </w:rPr>
      </w:pPr>
    </w:p>
    <w:p w:rsidR="00245ED4" w:rsidRDefault="00310E17" w:rsidP="003A7C8F">
      <w:pPr>
        <w:pStyle w:val="Heading30"/>
      </w:pPr>
      <w:r w:rsidRPr="003A7C8F">
        <w:t>GA-CALL — Bölge Değişikliğinde Çağrı İşareti ve Taşınabilirlik</w:t>
      </w:r>
    </w:p>
    <w:p w:rsidR="003A7C8F" w:rsidRDefault="00310E17">
      <w:pPr>
        <w:rPr>
          <w:b/>
        </w:rPr>
      </w:pPr>
      <w:r>
        <w:rPr>
          <w:b/>
        </w:rPr>
        <w:t>Sorun:</w:t>
      </w:r>
    </w:p>
    <w:p w:rsidR="00245ED4" w:rsidRDefault="00310E17">
      <w:r>
        <w:t>İkamet farklı bölgeye taşınınca 3 ay içinde başvuru zorunlu; operatör ya yeni çağrı işareti alır ya da KEGM'e bildirerek mevcut işaretini '/(bölge)' ile korur (ör. TA3A/4). 3 aylık başvuru yükü, '/bölge' korumasının kalıcı ikamette süresiz kabulünün belirsizliği ve afet göçleri kuralı fiilen işlemez kılmaktadır.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KEGM Sınav ve Belgelendirme Yönetmeliği (RG 27482): bölge değişiminde 3 ay içinde başvuru; mevcut çağrı işareti '/(bölge)' eklenerek korunabilir — tam farklı işarete geçiş zorunlu değildir.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Çoğu idarede çağrı işareti ülke genelinde taşınabilir; bölge tabanlı zorunlu güncelleme yaygın değil.</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FFFFFF"/>
            <w:tcMar>
              <w:top w:w="80" w:type="dxa"/>
              <w:left w:w="160" w:type="dxa"/>
              <w:bottom w:w="80" w:type="dxa"/>
              <w:right w:w="120" w:type="dxa"/>
            </w:tcMar>
          </w:tcPr>
          <w:p w:rsidR="00D23DE4" w:rsidRDefault="00EF56A4">
            <w:r>
              <w:rPr>
                <w:i/>
                <w:iCs/>
                <w:sz w:val="18"/>
                <w:szCs w:val="18"/>
              </w:rPr>
              <w:t>US/DE/GB: taşınmada çağrı işareti değişmez, ülke genelinde taşınabilir.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KEGM'den '/bölge' ile kalıcı korumanın süresiz kabulü, 3 ay başvuru yükünün hafifletilmesi, afet göçünde muafiyet ve çağrı işaretinin ülke genelinde taşınabilir kılınması.</w:t>
            </w:r>
          </w:p>
        </w:tc>
      </w:tr>
    </w:tbl>
    <w:p w:rsidR="003A7C8F" w:rsidRDefault="003A7C8F">
      <w:pPr>
        <w:rPr>
          <w:b/>
        </w:rPr>
      </w:pPr>
    </w:p>
    <w:p w:rsidR="00760C22" w:rsidRDefault="00760C22">
      <w:pPr>
        <w:rPr>
          <w:b/>
          <w:bCs/>
          <w:color w:val="404040"/>
          <w:sz w:val="22"/>
          <w:szCs w:val="22"/>
        </w:rPr>
      </w:pPr>
      <w:r>
        <w:br w:type="page"/>
      </w:r>
    </w:p>
    <w:p w:rsidR="00245ED4" w:rsidRDefault="00310E17" w:rsidP="003A7C8F">
      <w:pPr>
        <w:pStyle w:val="Heading30"/>
      </w:pPr>
      <w:r w:rsidRPr="003A7C8F">
        <w:t>GA-CIHAZ — Cihaz Uygunluğu, Piyasa Gözetimi, Satışta Belge Kontrolü ve Devir</w:t>
      </w:r>
    </w:p>
    <w:p w:rsidR="003A7C8F" w:rsidRPr="003A7C8F" w:rsidRDefault="00310E17" w:rsidP="003A7C8F">
      <w:pPr>
        <w:spacing w:before="80" w:after="120"/>
        <w:rPr>
          <w:b/>
          <w:bCs/>
        </w:rPr>
      </w:pPr>
      <w:r w:rsidRPr="003A7C8F">
        <w:rPr>
          <w:b/>
          <w:bCs/>
        </w:rPr>
        <w:t>Sorun:</w:t>
      </w:r>
    </w:p>
    <w:p w:rsidR="00245ED4" w:rsidRDefault="00310E17">
      <w:r>
        <w:t xml:space="preserve">Amatör bantlarda verici olarak çalışan el telsizleri, e-ticaret platformlarında amatör telsizcilik belgesi sorulmaksızın satılmaktadır. TTTE Yönetmeliği (2014/53/AB RED uyumu) rejiminde piyasaya arz üretici/ithalatçı uygunluk beyanına dayanır; ön tip onayı yoktur ve denetim piyasa gözetimiyle yapılır. Bu rejimde istenmeyen (spurious) emisyon limitlerini karşılamayan düşük maliyetli cihazlar piyasada dolaşmaktadır: QST Ocak 2020'de yayımlanan ARRL Lab el telsizi testinde, test edilen 45 Baofeng cihazının yalnızca %9'unun istenmeyen emisyon ve harmonik testini geçtiği aktarılmaktadır (iddia: ikincil kaynaktan; QST metni bu çalışmada okunmadı). BTK, 27 Kasım 2019 tarihli duyurusuyla aralarında Baofeng UV-5R ve BF-888S'in de bulunduğu cihazları güvensiz ilan etmiş, piyasaya arzlarını yasaklamış ve toplatılmalarına karar vermiştir; buna rağmen benzer cihazların satışı sürmektedir. Ayrıca cihaz devrinde basit bir bildirim usulü bulunmadığından el değiştiren cihazların izlenebilirliği zayıftır; SDR kartlarında (ör. ADALM-Pluto) çift kullanım (dual-use) ve son kullanıcı taahhüdü (EUC) koşulları belirsizdir.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TTTE Yönetmeliği (RED 2014/53/AB uyumu): uygunluk beyanı + CE işareti; BTK piyasa gözetimi ve denetimi (27 Kasım 2019 güvensiz cihaz duyurusu); Telsiz Yönetmeliği Md.2/4: muafiyet 'ilgili teknik düzenlemelere uygunluk' şartına bağlı; 5809 EHK Md.37/3: 'Kurumca onaylı cihaz' ifadesi (belirsizliği Envanter'de not edilmiştir).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 / Karşılaştırma</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ETSI EN 300 086 vb. standartlarda istenmeyen emisyon limitleri; US karşılaştırması: FCC Part 97 §97.307(e) 30-225 MHz'de istenmeyen emisyonların en az 60 dB, 25 W ve altı vericilerde en az 40 dB bastırılmasını ister; Part 90 §90.210 (150-174 ve 421-512 MHz, maske B/C) ise 43 + 10 log(P) dB ister (5 W'ta yaklaşık 50 dB) — el telsizi sınıfında Part 90 daha sıkıdır; FCC 2018 uygulama duyurusu sertifikasız cihaz satışına yöneliktir.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BTK + Ticaret Bakanlığı'ndan Talep: (1) Amatör bantlarda çalışan verici cihazların e-ticaret satışında belge kontrolü; (2) spurious emisyon denetimlerinin sıklaştırılması ve güvensiz ürün listelerinin güncel tutulması; (3) ikinci el cihaz devrinde basit bildirim usulü; (4) SDR kartlarının eğitim/hobi statüsü ile dual-use koşullarının rehberle açıklanması.</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Bu başlık, 'amatörler tehlike üretiyor' söylemini 'denetimsiz piyasa tehlike üretiyor; belgeli amatör çözüm ortağıdır' çerçevesine taşır. Toplu yasak kaygısına karşı ana savunma hattıdır.</w:t>
            </w:r>
          </w:p>
        </w:tc>
      </w:tr>
    </w:tbl>
    <w:p w:rsidR="007B3791" w:rsidRDefault="00201410">
      <w:r>
        <w:rPr>
          <w:b/>
        </w:rPr>
        <w:t xml:space="preserve">Kaynak: BTK güvensiz cihaz duyurusu (27.11.2019; özgün adres artık yanıt vermiyor, arşiv kopyası): web.archive.org/web/20200226053829/https://www.btk.gov.tr/duyurular/kamuoyuna-duyurulur-guvensiz-oldugu-tespit-edilen-cihazlar; ARRL Lab testine ikincil atıf (QST Ocak 2020): kb6nu.com/did-the-fcc-just-make-baofengs-illegal-short-answer-no</w:t>
      </w:r>
      <w:r>
        <w:t xml:space="preserve"/>
      </w:r>
    </w:p>
    <w:p w:rsidR="003A7C8F" w:rsidRDefault="003A7C8F">
      <w:pPr>
        <w:rPr>
          <w:b/>
        </w:rPr>
      </w:pPr>
    </w:p>
    <w:p w:rsidR="00245ED4" w:rsidRDefault="00310E17" w:rsidP="003A7C8F">
      <w:pPr>
        <w:pStyle w:val="Heading30"/>
      </w:pPr>
      <w:r w:rsidRPr="003A7C8F">
        <w:t>GA-EMCOMM — Afet Haberleşmesinde Amatörün Rolü: Tanım ve Kapsam Belirsizliği</w:t>
      </w:r>
    </w:p>
    <w:p w:rsidR="003A7C8F" w:rsidRPr="003A7C8F" w:rsidRDefault="00310E17" w:rsidP="003A7C8F">
      <w:pPr>
        <w:spacing w:before="80" w:after="120"/>
        <w:rPr>
          <w:b/>
          <w:bCs/>
        </w:rPr>
      </w:pPr>
      <w:r w:rsidRPr="003A7C8F">
        <w:rPr>
          <w:b/>
          <w:bCs/>
        </w:rPr>
        <w:t>Sorun:</w:t>
      </w:r>
    </w:p>
    <w:p w:rsidR="00245ED4" w:rsidRDefault="00310E17">
      <w:r>
        <w:t>Amatör telsizin afet haberleşmesindeki rolü, yaygın kanaatin aksine tümüyle tanımsız değildir. TAMP'ın (RG 31954, 2022) ana metninde amatör telsiz dernekleri ismen yer almaz; Afet Haberleşme Grubu'nun destek çözüm ortakları arasında yalnızca genel “STK” kategorisi bulunur. Buna karşılık TAMP'ın hazırlanmasını öngördüğü Ulusal Düzey Afet Haberleşme Grubu Planı'na ilişkin resmî yazışmalarda TRAC, 2012, 2015 ve 2024 tarihli belgelerde ismen “çözüm ortağı” olarak anılmıştır. Ayrıca FTM Teknik Ölçütler Md.22 §3 ve §4, amatörlere afette koordinasyon kuruluşlarına yardım etme ve izinle kuruma tahsisli frekansları kullanma dayanağı verir. Gerçek boşluk üç noktadadır: (a) ortaklığın somut içeriği — teknik destek mi, malzeme desteği mi, doğrudan operatörlük mü — kamuya açık değildir; söz konusu plan metni yayımlanmamıştır. (b) Dernek üyesi olmayan bireysel amatörün konumu hiçbir belgede tanımlı değildir. (c) 2000 tarihli protokolün imzacı kurumu (Başbakanlık Türkiye Acil Durum Yönetimi Genel Müdürlüğü) kalkmıştır; AFAD'ın bu protokolü devraldığını teyit eden kamuya açık bir belge bulunamamıştır.</w:t>
      </w: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400"/>
        <w:gridCol w:w="7626"/>
      </w:tblGrid>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TR Mevzuatı</w:t>
            </w:r>
          </w:p>
        </w:tc>
        <w:tc>
          <w:tcPr>
            <w:tcW w:w="7626" w:type="dxa"/>
            <w:tcBorders>
              <w:top w:val="single" w:sz="1" w:space="0" w:color="2E75B6"/>
              <w:left w:val="single" w:sz="1" w:space="0" w:color="2E75B6"/>
              <w:bottom w:val="single" w:sz="1" w:space="0" w:color="2E75B6"/>
              <w:right w:val="single" w:sz="1" w:space="0" w:color="2E75B6"/>
            </w:tcBorders>
            <w:shd w:val="clear" w:color="auto" w:fill="D6E4F0"/>
            <w:tcMar>
              <w:top w:w="80" w:type="dxa"/>
              <w:left w:w="160" w:type="dxa"/>
              <w:bottom w:w="80" w:type="dxa"/>
              <w:right w:w="120" w:type="dxa"/>
            </w:tcMar>
          </w:tcPr>
          <w:p w:rsidR="00D23DE4" w:rsidRDefault="00EF56A4">
            <w:r>
              <w:rPr>
                <w:i/>
                <w:iCs/>
                <w:sz w:val="18"/>
                <w:szCs w:val="18"/>
              </w:rPr>
              <w:t xml:space="preserve">KEGM Sınav Yönetmeliği (RG 27482) Md.4/1-a, amatörler bakımından acil durum ve afet haberleşmesini tanımlar; Md.4/1-e ise acil ve olağanüstü durum haberleşmesinde görev alan kuruluşları amatör istasyonu kurabilecekler arasında sayar. FTM Teknik Ölçütler (BTK Kurul Kararı 23.09.2022, 2022/İK-SYD/245) Md.22 §3-§4: amatörler afette koordinasyon kuruluşlarına yardım edebilir ve ilgili kamu kurumunun izniyle o kuruma tahsisli frekansları kullanabilir. TAMP (RG 31954): Afet Haberleşme Grubu ana çözüm ortağı Ulaştırma ve Altyapı Bakanlığı; destek çözüm ortakları arasında amatör telsiz dernekleri ismen değil, genel “STK” kategorisiyle yer alır. TAMP'ın öngördüğü Ulusal Düzey Afet Haberleşme Grubu Planı yazışmaları (2012 AFAD daveti; 2015 Ulaştırma Denizcilik ve Haberleşme Bakanlığı yazısı; 2024 Ulaştırma ve Altyapı Bakanlığı yazısı): TRAC ismen “çözüm ortağı” olarak anılmaktadır. 7269 sayılı Kanun ve AFAD mevzuatında amatör telsizin rolü tanımlı değildir; planın amatörlere ilişkin bölümü kamuya açık değildir.</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IARU / CEPT ve Diğer Ülkeler</w:t>
            </w:r>
          </w:p>
        </w:tc>
        <w:tc>
          <w:tcPr>
            <w:tcW w:w="7626" w:type="dxa"/>
            <w:tcBorders>
              <w:top w:val="single" w:sz="1" w:space="0" w:color="2E75B6"/>
              <w:left w:val="single" w:sz="1" w:space="0" w:color="2E75B6"/>
              <w:bottom w:val="single" w:sz="1" w:space="0" w:color="2E75B6"/>
              <w:right w:val="single" w:sz="1" w:space="0" w:color="2E75B6"/>
            </w:tcBorders>
            <w:shd w:val="clear" w:color="auto" w:fill="E2EFDA"/>
            <w:tcMar>
              <w:top w:w="80" w:type="dxa"/>
              <w:left w:w="160" w:type="dxa"/>
              <w:bottom w:w="80" w:type="dxa"/>
              <w:right w:w="120" w:type="dxa"/>
            </w:tcMar>
          </w:tcPr>
          <w:p w:rsidR="00D23DE4" w:rsidRDefault="00EF56A4">
            <w:r>
              <w:rPr>
                <w:i/>
                <w:iCs/>
                <w:sz w:val="18"/>
                <w:szCs w:val="18"/>
              </w:rPr>
              <w:t xml:space="preserve">IARU ETG (Emergency Telecommunications Guide; Türkçe baskısı tespit edilemedi): ulusal afet kurumlarıyla MOU çerçevesi önerir. DE: DARC-BBK işbirliği; AT: benzer model; US: ARES/RACES-FEMA ilişkisi.</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Öneri / Talep</w:t>
            </w:r>
          </w:p>
        </w:tc>
        <w:tc>
          <w:tcPr>
            <w:tcW w:w="7626" w:type="dxa"/>
            <w:tcBorders>
              <w:top w:val="single" w:sz="1" w:space="0" w:color="2E75B6"/>
              <w:left w:val="single" w:sz="1" w:space="0" w:color="2E75B6"/>
              <w:bottom w:val="single" w:sz="1" w:space="0" w:color="2E75B6"/>
              <w:right w:val="single" w:sz="1" w:space="0" w:color="2E75B6"/>
            </w:tcBorders>
            <w:shd w:val="clear" w:color="auto" w:fill="FCE4D6"/>
            <w:tcMar>
              <w:top w:w="80" w:type="dxa"/>
              <w:left w:w="160" w:type="dxa"/>
              <w:bottom w:w="80" w:type="dxa"/>
              <w:right w:w="120" w:type="dxa"/>
            </w:tcMar>
          </w:tcPr>
          <w:p w:rsidR="00D23DE4" w:rsidRDefault="00EF56A4">
            <w:r>
              <w:rPr>
                <w:i/>
                <w:iCs/>
                <w:sz w:val="18"/>
                <w:szCs w:val="18"/>
              </w:rPr>
              <w:t>AFAD + Ulaştırma ve Altyapı Bakanlığı + KEGM/BTK'dan Talep: (1) Ulusal Düzey Afet Haberleşme Grubu Planı'nın amatör telsize ilişkin bölümünün ve amatörlere verilen somut görev tanımının kamuya açıklanması. (2) Amatörlerin afetteki yetki ve sorumluluklarının (teknik destek, malzeme desteği, koordinasyon, doğrudan operatörlük) yazılı olarak netleştirilmesi. (3) Dernek üyesi olmayan bireysel amatörlerin sürece nasıl dâhil olacağının tanımlanması. (4) İl AFAD müdürlükleri ile kulüpler arasında eşleşme ve düzenli ortak tatbikat usulünün esasa bağlanması. (5) 2000 tarihli protokolün güncel geçerliliğinin teyidi veya yerine güncel bir protokol yapılması.</w:t>
            </w:r>
          </w:p>
        </w:tc>
      </w:tr>
      <w:tr w:rsidR="00D23DE4">
        <w:tc>
          <w:tcPr>
            <w:tcW w:w="14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7"/>
                <w:szCs w:val="17"/>
              </w:rPr>
              <w:t>Strateji Notu</w:t>
            </w:r>
          </w:p>
        </w:tc>
        <w:tc>
          <w:tcPr>
            <w:tcW w:w="7626" w:type="dxa"/>
            <w:tcBorders>
              <w:top w:val="single" w:sz="1" w:space="0" w:color="2E75B6"/>
              <w:left w:val="single" w:sz="1" w:space="0" w:color="2E75B6"/>
              <w:bottom w:val="single" w:sz="1" w:space="0" w:color="2E75B6"/>
              <w:right w:val="single" w:sz="1" w:space="0" w:color="2E75B6"/>
            </w:tcBorders>
            <w:shd w:val="clear" w:color="auto" w:fill="FFF2CC"/>
            <w:tcMar>
              <w:top w:w="80" w:type="dxa"/>
              <w:left w:w="160" w:type="dxa"/>
              <w:bottom w:w="80" w:type="dxa"/>
              <w:right w:w="120" w:type="dxa"/>
            </w:tcMar>
          </w:tcPr>
          <w:p w:rsidR="00D23DE4" w:rsidRDefault="00EF56A4">
            <w:r>
              <w:rPr>
                <w:i/>
                <w:iCs/>
                <w:sz w:val="18"/>
                <w:szCs w:val="18"/>
              </w:rPr>
              <w:t>'Amatörlük yasaklanır' kaygısına karşı en güçlü pozitif dosya: kamu yararının resmîleştirilmesi. Afet rolü bahane değil, protokole bağlanması gereken gerçek bir kapasitedir.</w:t>
            </w:r>
          </w:p>
        </w:tc>
      </w:tr>
    </w:tbl>
    <w:p w:rsidR="007B3791" w:rsidRDefault="00201410">
      <w:r>
        <w:rPr>
          <w:b/>
        </w:rPr>
        <w:t xml:space="preserve">Kaynak: </w:t>
      </w:r>
      <w:r>
        <w:t>IARU ETG: iaru-r1.org/on-the-air/emergency-communications/</w:t>
      </w:r>
    </w:p>
    <w:p w:rsidR="00760C22" w:rsidRDefault="00760C22">
      <w:pPr>
        <w:rPr>
          <w:b/>
          <w:bCs/>
          <w:color w:val="1F4E79"/>
          <w:sz w:val="28"/>
          <w:szCs w:val="28"/>
        </w:rPr>
      </w:pPr>
      <w:r>
        <w:br w:type="page"/>
      </w:r>
    </w:p>
    <w:p w:rsidR="00D23DE4" w:rsidRDefault="00EF56A4">
      <w:pPr>
        <w:pStyle w:val="Heading10"/>
        <w:pBdr>
          <w:bottom w:val="single" w:sz="6" w:space="4" w:color="2E75B6"/>
        </w:pBdr>
      </w:pPr>
      <w:r>
        <w:t>4. Karşılaştırmalı Analiz — TR / IARU / CEPT-AB</w:t>
      </w:r>
    </w:p>
    <w:p w:rsidR="00D23DE4" w:rsidRDefault="00EF56A4">
      <w:pPr>
        <w:spacing w:before="80" w:after="120"/>
      </w:pPr>
      <w:r>
        <w:t>Birincil kaynaklarla desteklenmiş karşılaştırmalı özet. Tüm ülke durumları ilgili ulusal mevzuat veya IARU/CEPT belgelerine dayanmaktadır.</w:t>
      </w:r>
    </w:p>
    <w:p w:rsidR="00D23DE4" w:rsidRDefault="00D23DE4">
      <w:pPr>
        <w:spacing w:before="80"/>
      </w:pPr>
    </w:p>
    <w:tbl>
      <w:tblPr>
        <w:tblW w:w="902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969"/>
        <w:gridCol w:w="2218"/>
        <w:gridCol w:w="2220"/>
        <w:gridCol w:w="2619"/>
      </w:tblGrid>
      <w:tr w:rsidR="00D23DE4">
        <w:tc>
          <w:tcPr>
            <w:tcW w:w="180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Konu</w:t>
            </w:r>
          </w:p>
        </w:tc>
        <w:tc>
          <w:tcPr>
            <w:tcW w:w="2200"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8"/>
                <w:szCs w:val="18"/>
              </w:rPr>
              <w:t>Türkiye (TR)</w:t>
            </w:r>
          </w:p>
        </w:tc>
        <w:tc>
          <w:tcPr>
            <w:tcW w:w="230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IARU Bölge 1</w:t>
            </w:r>
          </w:p>
        </w:tc>
        <w:tc>
          <w:tcPr>
            <w:tcW w:w="2726" w:type="dxa"/>
            <w:tcBorders>
              <w:top w:val="single" w:sz="1" w:space="0" w:color="2E75B6"/>
              <w:left w:val="single" w:sz="1" w:space="0" w:color="2E75B6"/>
              <w:bottom w:val="single" w:sz="1" w:space="0" w:color="2E75B6"/>
              <w:right w:val="single" w:sz="1" w:space="0" w:color="2E75B6"/>
            </w:tcBorders>
            <w:shd w:val="clear" w:color="auto" w:fill="2E75B6"/>
            <w:tcMar>
              <w:top w:w="80" w:type="dxa"/>
              <w:left w:w="120" w:type="dxa"/>
              <w:bottom w:w="80" w:type="dxa"/>
              <w:right w:w="120" w:type="dxa"/>
            </w:tcMar>
            <w:vAlign w:val="center"/>
          </w:tcPr>
          <w:p w:rsidR="00D23DE4" w:rsidRDefault="00EF56A4">
            <w:r>
              <w:rPr>
                <w:b/>
                <w:bCs/>
                <w:color w:val="FFFFFF"/>
                <w:sz w:val="18"/>
                <w:szCs w:val="18"/>
              </w:rPr>
              <w:t>CEPT / AB Örneği</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Özel amatör yönetmelik</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Yok — dağınık mevzuat</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Ulusal yönetmelik tavsiye edilir (ilgili CEPT/ECC çerçevesi)</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DE: AFuV; GB: WTA+Ofcom NoV; US: FCC Part 97</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Belge sınıfı / hak tanımı</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A/B/C — tablo var (FTM Teknik Ölçütler Md.22/Tablo 25); ancak KEGM atfı mülga belgeye</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T/R 61-01 tek CEPT lisansı düzeyi + Ek 2 denklik tablosu; giriş seviyesi ECC/REC/(05)06</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 xml:space="preserve">CEPT üyeleri ulusal sınıflarının denkliğini T/R 61-01 Ek 2'de bildirir</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HAREC tanınması</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 xml:space="preserve">KISMÎ — T/R 61-01 Ek 2'de TR için A, T/R 61-02 Ek 2'de B listeli; C sınıfı her iki listede yok</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Karşılıklı tanıma (T/R 61-02, 16 Şubat 2024 baskısı)</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46 CEPT üyesinin çoğunluğunda aktif</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Yurt dışı geçici faaliyet</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Standart prosedür yok</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T/R 61-01 seyahat çerçevesi</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 xml:space="preserve">Geçici kalış süresince kendi lisansıyla faaliyet (T/R 61-01); bazı ülkeler ayrı süre sınırı koyar</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FT8/Winlink/SDR</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Emisyon tipinde yok; kapsam belirsiz</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R1 Bandplan'da segment tanımlı</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DE/GB/US: Lisans kapsamında; bandplana entegre</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RX özgürlüğü</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 xml:space="preserve">Kodifiye edilmemiş; FTM Md.24 salt alıcı cihazları ruhsattan muaf tutar; TCK 132/133 ve 5809 Md.51/2 riski</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Amatör ve genel kamuya yönelik yayınları dinlemek yaygın biçimde serbest</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 xml:space="preserve">DE: TDDDG §5; US: 18 USC §2511(2)(g)(ii); GB: WTA 2006 s.48</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Bireysel role</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Yalnızca dernek</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Koordinasyonla bireysel işletim mümkün</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US: FCC 97.205; GB: Ofcom NoV bireysel</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EMCOMM protokolü</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 xml:space="preserve">Tanım var (KEGM Md.4/1-a + FTM Md.22 §3-§4); planda 'çözüm ortağı' anılıyor, görev içeriği açık değil</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IARU ETG + MOU çerçevesi</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DE/AT: DARC ile ulusal afet kurumu MOU</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WRC-23 23cm dipnotu</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MFP'ye henüz yansımadı (yürürlük: 01.01.2025)</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Zorunlu ulusal uygulama</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CEPT üyesi idareler MFP'ye aldı</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Girişim/şikayet mekanizması</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Tanımlı değil</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Ulusal regülatör arabulucu rolünde</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CEPT ECC/DEC/(02)05 standart prosedür</w:t>
            </w:r>
          </w:p>
        </w:tc>
      </w:tr>
      <w:tr w:rsidR="00D23DE4">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rsidR="00D23DE4" w:rsidRDefault="00EF56A4">
            <w:r>
              <w:rPr>
                <w:b/>
                <w:bCs/>
                <w:color w:val="000000"/>
                <w:sz w:val="18"/>
                <w:szCs w:val="18"/>
              </w:rPr>
              <w:t>Role erişim yönetimi</w:t>
            </w:r>
          </w:p>
        </w:tc>
        <w:tc>
          <w:tcPr>
            <w:tcW w:w="23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rsidR="00D23DE4" w:rsidRDefault="00EF56A4">
            <w:r>
              <w:rPr>
                <w:color w:val="000000"/>
                <w:sz w:val="18"/>
                <w:szCs w:val="18"/>
              </w:rPr>
              <w:t>Kulüp kararında; yasal dayanak zayıf</w:t>
            </w:r>
          </w:p>
        </w:tc>
        <w:tc>
          <w:tcPr>
            <w:tcW w:w="2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Koordinasyon org (orn. DARC, RSGB) rehberi</w:t>
            </w:r>
          </w:p>
        </w:tc>
        <w:tc>
          <w:tcPr>
            <w:tcW w:w="242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DE: DARC koordinasyon; GB: RSGB; US: ARRL</w:t>
            </w:r>
          </w:p>
        </w:tc>
      </w:tr>
    </w:tbl>
    <w:p w:rsidR="00D23DE4" w:rsidRDefault="00D23DE4">
      <w:pPr>
        <w:spacing w:before="200"/>
      </w:pPr>
    </w:p>
    <w:p w:rsidR="00760C22" w:rsidRDefault="00760C22">
      <w:pPr>
        <w:rPr>
          <w:b/>
          <w:bCs/>
          <w:color w:val="1F4E79"/>
          <w:sz w:val="28"/>
          <w:szCs w:val="28"/>
        </w:rPr>
      </w:pPr>
      <w:r>
        <w:br w:type="page"/>
      </w:r>
    </w:p>
    <w:p w:rsidR="00D23DE4" w:rsidRDefault="00EF56A4">
      <w:pPr>
        <w:pStyle w:val="Heading10"/>
        <w:pBdr>
          <w:bottom w:val="single" w:sz="6" w:space="4" w:color="2E75B6"/>
        </w:pBdr>
      </w:pPr>
      <w:r>
        <w:t>5. Herkesin Anlayabileceği Özet</w:t>
      </w:r>
    </w:p>
    <w:p w:rsidR="00D23DE4" w:rsidRDefault="00EF56A4">
      <w:pPr>
        <w:pStyle w:val="Heading30"/>
      </w:pPr>
      <w:r>
        <w:t>Amatör telsizci ne yapabilir?</w:t>
      </w:r>
    </w:p>
    <w:p w:rsidR="00D23DE4" w:rsidRDefault="00EF56A4">
      <w:pPr>
        <w:spacing w:before="80" w:after="120"/>
      </w:pPr>
      <w:r>
        <w:t>KEGM belgesine sahip operatör; sabit, araç, el veya arazi istasyonuyla, bandplana uygun frekans ve güç sınırlarında, ayrıca telsiz ruhsatı, frekans tahsisi veya BTK izni almaksızın haberleşme edebilir. Yasal dayanak: 5809 EHK Md.37/3 + Anayasa Md.22.</w:t>
      </w:r>
    </w:p>
    <w:p w:rsidR="00D23DE4" w:rsidRDefault="00EF56A4">
      <w:pPr>
        <w:pStyle w:val="Heading30"/>
      </w:pPr>
      <w:r>
        <w:t>Denetim birimleri cihazınıza el koyarsa?</w:t>
      </w:r>
    </w:p>
    <w:p w:rsidR="00D23DE4" w:rsidRDefault="00EF56A4">
      <w:pPr>
        <w:spacing w:before="80" w:after="120"/>
      </w:pPr>
      <w:r>
        <w:t>5809 EHK Md.37/3 ve Anayasa Md.22 kapsamında haberleşme hürriyetiniz anayasal güvence altındadır. Belgenizi gösterin. Buna rağmen el koyma yoluna gidilirse yazılı tutanak isteyin ve BTK/KEGM'e yazılı başvuru yapın; belgeli amatör istasyonun muafiyeti 5809 Md.37/3'e dayanır.</w:t>
      </w:r>
    </w:p>
    <w:p w:rsidR="00D23DE4" w:rsidRDefault="00EF56A4">
      <w:pPr>
        <w:pStyle w:val="Heading30"/>
      </w:pPr>
      <w:r>
        <w:t>FT8 veya Winlink kullanabilir miyim? (GA-DIG)</w:t>
      </w:r>
    </w:p>
    <w:p w:rsidR="00D23DE4" w:rsidRDefault="00EF56A4">
      <w:pPr>
        <w:spacing w:before="80" w:after="120"/>
      </w:pPr>
      <w:r>
        <w:t xml:space="preserve">Bu modlar kamuya açık ve belgeli protokollerdir; ITU-RR Md.25’teki ‘anlam gizleme amacı’ testini karşılamazlar. FTM Teknik Ölçütler Md.22 §13 de amatör haberleşme yöntemleri arasında RTTY, SSTV, PSK, PACTOR, AMPR, APRS ve TCP/IP’yi ismen sayar ve yalnızca anlam gizleyen kriptolu iletişimi yasaklar. Bununla birlikte BTK TAD (2018) ve emisyon tipi tabloları FT8/WSPR gibi yeni modları listelemediği için tam netlik yoktur. Kullanım pratikte yaygın; yasal netlik için TAD güncellemesi beklenmektedir.</w:t>
      </w:r>
    </w:p>
    <w:p w:rsidR="00D23DE4" w:rsidRDefault="00EF56A4">
      <w:pPr>
        <w:pStyle w:val="Heading30"/>
      </w:pPr>
      <w:r>
        <w:t>Gri alanda nasıl hareket edilir?</w:t>
      </w:r>
    </w:p>
    <w:p w:rsidR="00D23DE4" w:rsidRDefault="00EF56A4">
      <w:pPr>
        <w:pStyle w:val="ListeParagraf"/>
        <w:numPr>
          <w:ilvl w:val="0"/>
          <w:numId w:val="2"/>
        </w:numPr>
        <w:spacing w:before="40" w:after="60"/>
      </w:pPr>
      <w:r>
        <w:t>KEGM belgesini her zaman taşın.</w:t>
      </w:r>
    </w:p>
    <w:p w:rsidR="00D23DE4" w:rsidRDefault="00EF56A4">
      <w:pPr>
        <w:pStyle w:val="ListeParagraf"/>
        <w:numPr>
          <w:ilvl w:val="0"/>
          <w:numId w:val="2"/>
        </w:numPr>
        <w:spacing w:before="40" w:after="60"/>
      </w:pPr>
      <w:r>
        <w:t>5809 EHK Md.37/3 metnini ve bu belgeyi yanında bulundur.</w:t>
      </w:r>
    </w:p>
    <w:p w:rsidR="00D23DE4" w:rsidRDefault="00EF56A4">
      <w:pPr>
        <w:pStyle w:val="ListeParagraf"/>
        <w:numPr>
          <w:ilvl w:val="0"/>
          <w:numId w:val="2"/>
        </w:numPr>
        <w:spacing w:before="40" w:after="60"/>
      </w:pPr>
      <w:r>
        <w:t>FTM Tablo 25'teki güç ve frekans sınırlarında kal.</w:t>
      </w:r>
    </w:p>
    <w:p w:rsidR="00D23DE4" w:rsidRDefault="00EF56A4">
      <w:pPr>
        <w:pStyle w:val="ListeParagraf"/>
        <w:numPr>
          <w:ilvl w:val="0"/>
          <w:numId w:val="2"/>
        </w:numPr>
        <w:spacing w:before="40" w:after="60"/>
      </w:pPr>
      <w:r>
        <w:t>Uyuşmazlıkta yazılı itiraz yolunu sec; BTK'ya başvur.</w:t>
      </w:r>
    </w:p>
    <w:p w:rsidR="00D23DE4" w:rsidRDefault="00EF56A4">
      <w:pPr>
        <w:pStyle w:val="ListeParagraf"/>
        <w:numPr>
          <w:ilvl w:val="0"/>
          <w:numId w:val="2"/>
        </w:numPr>
        <w:spacing w:before="40" w:after="60"/>
      </w:pPr>
      <w:r>
        <w:t>amatör telsiz dernek ve kulüpleri'a üye ol; kolektif hukuki izleme bireysel girişimden daha etkilidir.</w:t>
      </w:r>
    </w:p>
    <w:p w:rsidR="00D23DE4" w:rsidRDefault="00D23DE4"/>
    <w:p w:rsidR="00D23DE4" w:rsidRDefault="00EF56A4">
      <w:pPr>
        <w:pStyle w:val="Heading30"/>
      </w:pPr>
      <w:r>
        <w:t>Hangi frekanslarda hangi sınıf çalışabilir? (GA-BAND-1)</w:t>
      </w:r>
    </w:p>
    <w:p w:rsidR="00D23DE4" w:rsidRDefault="00EF56A4">
      <w:r>
        <w:t xml:space="preserve">A sınıfı tüm amatör bantlara tam yetkiyle erişebilir. B sınıfı VHF/UHF bantlarda (144, 430 MHz) çalışabilir; ayrıca kendi imalatı cihazla 40m (7000–7100 kHz) ve 10m (28–29.7 MHz) bantlarında 5W ile HF'e de girebilir. C sınıfı yalnızca 144-146 MHz'de ve 430-440 MHz'deki alt segmentlerde en fazla 5 W ile çalışabilir (el telsizlerinde FM modunda 5 W sınırı tüm sınıflar için geçerlidir). 50 MHz: yalnızca A ve B sınıfı. Kaynak: BTK FTM Teknik Ölçütler Tablo 25.</w:t>
      </w:r>
    </w:p>
    <w:p w:rsidR="00D23DE4" w:rsidRDefault="00D23DE4"/>
    <w:p w:rsidR="00D23DE4" w:rsidRDefault="00EF56A4">
      <w:pPr>
        <w:pStyle w:val="Heading30"/>
      </w:pPr>
      <w:r>
        <w:t>Meshtastic veya LoRa cihazımı kullanabilir miyim? (GA-LORA)</w:t>
      </w:r>
    </w:p>
    <w:p w:rsidR="00D23DE4" w:rsidRDefault="00EF56A4">
      <w:r>
        <w:t>868 MHz preset'li Meshtastic: lisanssız kullanılabilir (FTM-muaf SRD, 25 mW). 433 MHz: FTM-muaf SRD olarak kullanılabilir ancak amatör callsign eklenmemeli. 915 MHz preset: Türkiye'de yasadışı — 915 MHz GSM/LTE hücresel spektrumudur, FTM tablosunda yer almaz; firmware ile 868 MHz'e alın. LoRa-APRS I-gate (yalnız alıcı): lisanssız; TX beacon callsign ile gönderim amatör lisansı gerektirir.</w:t>
      </w:r>
    </w:p>
    <w:p w:rsidR="00D23DE4" w:rsidRDefault="00D23DE4"/>
    <w:p w:rsidR="00D23DE4" w:rsidRDefault="00EF56A4">
      <w:pPr>
        <w:pStyle w:val="Heading30"/>
      </w:pPr>
      <w:r>
        <w:t>AREDN mesh ağı kurabilir miyim? (GA-AREDN)</w:t>
      </w:r>
    </w:p>
    <w:p w:rsidR="00D23DE4" w:rsidRDefault="00EF56A4">
      <w:r>
        <w:t xml:space="preserve">AREDN, Ubiquiti gibi WiFi donanımı üzerinde 2.4/5.8 GHz amatör bantlarda mesh ağ kurar. Türkiye'de 5,8 GHz'in bir bölümü (5820-5850 MHz) FTM Teknik Ölçütler Tablo 25'te A ve B sınıfına açıktır; güç ve emisyon tipleri TAD08-01-06'da tanımlıdır, ancak emisyon listesi Wi-Fi türü geniş bantlı sayısal emisyonları kapsamaz. 2,4 GHz'de ise MFP'de amatör tahsisi yoktur; bu bantta yalnızca FTM'nin lisanssız KET/Wi-Fi sınırları (en fazla 100 mW e.i.r.p.) geçerlidir. Pratik öneri: 5,8 GHz'de A veya B sınıfı belgeyle ve çağrı işareti yayınlayarak; 2,4 GHz'de yalnızca Wi-Fi güç sınırları içinde kullanım.</w:t>
      </w:r>
    </w:p>
    <w:p w:rsidR="00D23DE4" w:rsidRDefault="00D23DE4"/>
    <w:p w:rsidR="00D23DE4" w:rsidRDefault="00EF56A4">
      <w:pPr>
        <w:pStyle w:val="Heading30"/>
      </w:pPr>
      <w:r>
        <w:t>Araçta telsiz bulundurabilir miyim? (GA-ARAC)</w:t>
      </w:r>
    </w:p>
    <w:p w:rsidR="00D23DE4" w:rsidRDefault="00EF56A4">
      <w:r>
        <w:t xml:space="preserve">BTK FTM Tablo 25 amatör telsiz istasyonu tanımı 'sabit, araç ve el telsiz cihazlarını' açıkça kapsar; araç telsizi FTM muafiyeti içindedir, ayrıca kurulum izni gerekmez. Saç delme gerektiren sabit montajlarda araç servisine yaptırın. KTK Md.73/1 seyir hâlinde haberleşme cihazı kullanmayı yasaklar ve eller serbest kullanım için ayrı bir istisna içermez; sürüş sırasında telsiz kullanmamak en güvenli yoldur.</w:t>
      </w:r>
    </w:p>
    <w:p w:rsidR="00D23DE4" w:rsidRDefault="00D23DE4"/>
    <w:p w:rsidR="00D23DE4" w:rsidRDefault="00EF56A4">
      <w:pPr>
        <w:pStyle w:val="Heading30"/>
      </w:pPr>
      <w:r>
        <w:t>Parkta (POTA) telsiz kullanabilir miyim? (GA-POTA)</w:t>
      </w:r>
    </w:p>
    <w:p w:rsidR="00D23DE4" w:rsidRDefault="00EF56A4">
      <w:r>
        <w:t xml:space="preserve">FTM muafiyeti yalnızca frekans spektrumunu kapsar; arazi kullanım izni ayrıdır. Belediye parklarında muhatap, alanı yöneten belediyedir (büyükşehir veya ilçe); örneğin İBB kendi park ve yeşil alanlarında "her türlü aktivite ve etkinlik" için dilekçeyle izin süreci işletir ve izinli etkinlikleri Zabıta ile birlikte takip eder. Kısa süreli bireysel kullanımın izne tabi olup olmadığı tanımlı değildir; kurulum içeren veya grup aktivasyonlarında önceden yazılı izin almak en güvenli yoldur. KEGM'den alınan özel etkinlik çağrı işareti de yer kullanım izni değildir. Milli park sınırlarında milli park müdürlüğüyle önceden iletişime geçin. 915 MHz gibi yasadışı frekans kullanmayın.</w:t>
      </w:r>
    </w:p>
    <w:p w:rsidR="00D23DE4" w:rsidRDefault="00D23DE4"/>
    <w:p w:rsidR="00D23DE4" w:rsidRDefault="00EF56A4">
      <w:pPr>
        <w:pStyle w:val="Heading30"/>
      </w:pPr>
      <w:r>
        <w:t>Kanal listeme askerî frekans kaydedersem sorun olur mu? (GA-RX/Kanal)</w:t>
      </w:r>
    </w:p>
    <w:p w:rsidR="00D23DE4" w:rsidRDefault="00EF56A4" w:rsidP="000A506A">
      <w:r>
        <w:t>Kaydedilen frekans listesi, cihaza el konulduğunda CMK Md.134 kapsamında inceleme kapsamına girer ve savcılık tarafından 'kasıtlı izleme hazırlığı' kanıtı olarak kullanılabilir. Anlık tarama (kaydetmeksizin dinleme) aynı riski taşımaz. Cihaz hafızanızı yalnızca amatör/yayıncilik bantlarıyla sınırlı tutun.</w:t>
      </w:r>
    </w:p>
    <w:p w:rsidR="00245ED4" w:rsidRDefault="00310E17">
      <w:pPr>
        <w:pStyle w:val="Heading30"/>
      </w:pPr>
      <w:r>
        <w:t>Yurt dışında telsiz kullanabilir miyim? (GA-3)</w:t>
      </w:r>
    </w:p>
    <w:p w:rsidR="00245ED4" w:rsidRDefault="00310E17">
      <w:r>
        <w:t xml:space="preserve">A sınıfı belge, CEPT T/R 61-01 Ek 2'de Türkiye'nin CEPT lisansına denk belgesi olarak listelidir; bu nedenle A sınıfı sahipleri T/R 61-01 uygulayan ülkelerde kısa süreli ziyarette ek lisans almadan çalışabilir. Süre "geçici kalış" ile sınırlıdır; bazı ülkeler (ör. Estonya, Letonya) üç ay gibi ayrı bir sınır koyar. Ziyaret edilen ülkenin önek kurallarına uyulur (ör. DL/TA3XX). B ve C sınıfı T/R 61-01 listesinde yer almadığından ziyaret edilen ülkeden ayrıca izin almak gerekir. Yabancı amatörlerin Türkiye'deki çalışması ise KEGM Yönetmeliği Md.6/5-6 ve FTM Teknik Ölçütler Md.22 §8 ile düzenlenmiştir (mütekabiliyet ve KEGM'ye bildirim).</w:t>
      </w:r>
    </w:p>
    <w:p w:rsidR="00245ED4" w:rsidRDefault="00310E17">
      <w:pPr>
        <w:pStyle w:val="Heading30"/>
      </w:pPr>
      <w:r>
        <w:t>Telsizimi yurt dışına götürebilir miyim? (GA-4)</w:t>
      </w:r>
    </w:p>
    <w:p w:rsidR="00245ED4" w:rsidRDefault="00310E17">
      <w:r>
        <w:t>Evet; ancak standart bir prosedür yoktur. Çıkışta Gümrük Yönetmeliği Ek-71 (ticari nitelikte olmayan eşya geçici ihracat beyannamesi) düzenletin; cihazın marka/model/seri numarası belgede yer alsın ve dönüşte aynı belgeyi ibraz edin. Uygulama gümrük idareleri arasında farklılık gösterebilir; ATA Karnesi de bir seçenektir.</w:t>
      </w:r>
    </w:p>
    <w:p w:rsidR="00245ED4" w:rsidRDefault="00310E17">
      <w:pPr>
        <w:pStyle w:val="Heading30"/>
      </w:pPr>
      <w:r>
        <w:t>Apartmanda anten kurabilir miyim? (GA-6)</w:t>
      </w:r>
    </w:p>
    <w:p w:rsidR="00245ED4" w:rsidRDefault="00310E17">
      <w:r>
        <w:t>Çatı gibi ortak alanlara kurulum, 634 sayılı KMK Md.19 uyarınca kat maliklerinin onayına tabidir; amatör antene özgü bir muafiyet yoktur. Kendi bağımsız bölümünüzde (balkon, pencere) kurulum daha az sorunludur. Site/apartman yönetimiyle önceden yazılı mutabakat ve dağınık da olsa emsal kararların derlenmesi en pratik korunma yollarıdır.</w:t>
      </w:r>
    </w:p>
    <w:p w:rsidR="00245ED4" w:rsidRDefault="00310E17">
      <w:pPr>
        <w:pStyle w:val="Heading30"/>
      </w:pPr>
      <w:r>
        <w:t>EchoLink düğümü veya WebSDR çalıştırabilir miyim? (GA-NODE)</w:t>
      </w:r>
    </w:p>
    <w:p w:rsidR="00245ED4" w:rsidRDefault="00310E17">
      <w:r>
        <w:t xml:space="preserve">FTM Teknik Ölçütler Md.22 §12, amatör telsizcilerin “internet-telsiz arayüzü kullanan” faaliyetlerde bulunabileceğini açıkça düzenler; telsiz mevzuatı bakımından EchoLink/AllStar gibi köprüler izinlidir (Kurum frekans planlamasına uyulur). Belirsizlik 6112 sayılı Kanun'daki "yayın" tanımı (Md.3/1-ff; bireysel iletişim hariç) ve RTÜK boyutundadır. Kişisel düğüm işletimi pratikte yaygındır; kamuya açık sürekli yayın görünümü vermekten kaçının. Resmî netlik için BTK+RTÜK ortak görüşü talep edilmektedir (Tablo B).</w:t>
      </w:r>
    </w:p>
    <w:p w:rsidR="00245ED4" w:rsidRDefault="00310E17">
      <w:pPr>
        <w:pStyle w:val="Heading30"/>
      </w:pPr>
      <w:r>
        <w:t>APRS digipeater veya röle kurabilir miyim? (GA-CROSS)</w:t>
      </w:r>
    </w:p>
    <w:p w:rsidR="00245ED4" w:rsidRDefault="00310E17">
      <w:r>
        <w:t>Röle işletimi uygulamada dernek tüzel kişiliğine bağlıdır; bireysel röle ve geçici cross-band tekrarlama mevzuatta tanımsızdır. APRS digipeater'lar de facto yaygındır (aprs.fi'de yüzlerce TR istasyonu) ama aynı belirsizliği taşır. En güvenli yol dernek/kulüp çatısı altında koordinasyondur.</w:t>
      </w:r>
    </w:p>
    <w:p w:rsidR="00245ED4" w:rsidRDefault="00310E17">
      <w:pPr>
        <w:pStyle w:val="Heading30"/>
      </w:pPr>
      <w:r>
        <w:t>İnternetten 'amatör telsiz' diye satılan POC cihaz alsam olur mu? (GA-POC)</w:t>
      </w:r>
    </w:p>
    <w:p w:rsidR="00245ED4" w:rsidRDefault="00310E17">
      <w:r>
        <w:t>Dikkat: POC (Push-to-Talk over Cellular) cihazlar hücresel şebeke (SIM kart) kullanır, amatör frekans spektrumunu hiç kullanmaz; amatör belge ve çağrı işaretiyle ilişkisi yoktur. 'Amatör telsiz' veya 'afet telsizi' diye pazarlanması yanıltıcıdır. Satın almadan önce cihazın amatör bantlarda RF verici olup olmadığını kontrol edin.</w:t>
      </w:r>
    </w:p>
    <w:p w:rsidR="00245ED4" w:rsidRDefault="00310E17">
      <w:pPr>
        <w:pStyle w:val="Heading30"/>
      </w:pPr>
      <w:r>
        <w:t>Röle mandalcılığını ve kasıtlı girişimi kime şikâyet ederim? (GA-ENFORC)</w:t>
      </w:r>
    </w:p>
    <w:p w:rsidR="00245ED4" w:rsidRDefault="00310E17">
      <w:r>
        <w:t>Denetim yetkisi yalnızca BTK/KEGM'dedir; bireysel 'frekans polisliğinin' yasal dayanağı yoktur. Girişimi tarih, saat, frekans ve mümkünse kayıtla belgeleyin ve BTK'ya yazılı bildirin. Kulüp/dernek üzerinden yapılan toplu başvurular bireysel şikâyetten daha etkilidir.</w:t>
      </w:r>
    </w:p>
    <w:p w:rsidR="00245ED4" w:rsidRDefault="00310E17">
      <w:pPr>
        <w:pStyle w:val="Heading30"/>
      </w:pPr>
      <w:r>
        <w:t>Vefat eden amatörün (Silent Key) çağrı işareti ne olur? (GA-SK)</w:t>
      </w:r>
    </w:p>
    <w:p w:rsidR="00245ED4" w:rsidRDefault="00310E17">
      <w:r>
        <w:t>Camiada yaygın algının aksine bu tanımsız değil: KEGM Yönetmeliği Md.7/2, vefat/vesayet hâlinde çağrı işaretinin — belgenin geçerlilik süresi içinde, aynı bölgede ikamet eden ve eşdeğer belgeye sahip bir varis/vasiye, hak sahipliği belgelenerek — tahsis edilebileceğini düzenler. Ancak dar bir mekanizmadır: süre sonrası akıbet açık değildir ve varisin zaten kendi belgesine sahip olması şartı çoğu aileyi kapsam dışı bırakır. Usulün netleştirilmesi KEGM'den talep edilmektedir (Tablo B, Taslak 9).</w:t>
      </w:r>
    </w:p>
    <w:p w:rsidR="00245ED4" w:rsidRDefault="00310E17">
      <w:pPr>
        <w:pStyle w:val="Heading30"/>
      </w:pPr>
      <w:r>
        <w:t>Başka bölgeye taşındım; çağrı işaretim değişir mi? (GA-CALL)</w:t>
      </w:r>
    </w:p>
    <w:p w:rsidR="00245ED4" w:rsidRDefault="00310E17">
      <w:r>
        <w:t>Üç ay içinde KEGM'e başvurmanız gerekir; ancak tam değişim zorunlu değildir — mevcut işaretinizi '/(bölge rakamı)' ekleyerek koruyabilirsiniz (ör. TA3A/4). Kalıcı ikamette bu korumanın süresiz kabul edilip edilmeyeceği belirsizdir; 'zorunlu tam değişim' yaygın ama yanlış bir algıdır.</w:t>
      </w:r>
    </w:p>
    <w:p w:rsidR="00245ED4" w:rsidRDefault="00310E17">
      <w:pPr>
        <w:pStyle w:val="Heading30"/>
      </w:pPr>
      <w:r>
        <w:t>İnternette herkese satılan ucuz telsizler sorun mu? (GA-CIHAZ)</w:t>
      </w:r>
    </w:p>
    <w:p w:rsidR="00245ED4" w:rsidRDefault="00310E17">
      <w:r>
        <w:t xml:space="preserve">Sorunun kaynağı belgeli amatör değil, uygunluk denetimi zayıf piyasadır. ARRL'nin 2020'de yayımlanan testinde incelenen Baofeng cihazlarının büyük bölümü istenmeyen emisyon limitlerini karşılamadı; BTK 2019'da UV-5R dahil bazı modelleri güvensiz ilan edip toplatılmalarına karar verdi. Belgeli amatör olarak uygunluğu bilinen cihaz kullanın; cihaz devrederken tarih, alıcı ve seri numarası kaydı tutun — bu kayıt sizi cihazın sonraki kötüye kullanımına ilişkin şüpheden korur.</w:t>
      </w:r>
    </w:p>
    <w:p w:rsidR="00245ED4" w:rsidRDefault="00310E17">
      <w:pPr>
        <w:pStyle w:val="Heading30"/>
      </w:pPr>
      <w:r>
        <w:t>Amatörlerin afetteki rolü resmî mi? (GA-EMCOMM)</w:t>
      </w:r>
    </w:p>
    <w:p w:rsidR="00245ED4" w:rsidRDefault="00310E17">
      <w:r>
        <w:t xml:space="preserve">Kısmen tanınıyor: KEGM yönetmeliği amatörlerin acil durum ve afet haberleşmesini tanımlar (Md.4/1-a); FTM Teknik Ölçütler Md.22 §3-§4 afette yardım ve izinli frekans kullanımına dayanak verir. Dahası amatör telsiz dernekleri, ulusal afet haberleşme planı yazışmalarında 2012'den 2024'e uzanan süreklilikle ismen “çözüm ortağı” olarak anılmıştır. Eksik olan protokolün varlığı değil, içeriğidir: amatöre hangi görevin verildiği (teknik destek mi, operatörlük mü) ve bireysel amatörün nasıl dâhil olacağı yazılı değildir. Talep, planın amatörlere ilişkin bölümünün açıklanması ve görev tanımının netleştirilmesidir (Tablo B).</w:t>
      </w:r>
    </w:p>
    <w:p w:rsidR="00245ED4" w:rsidRDefault="00310E17">
      <w:r>
        <w:rPr>
          <w:i/>
        </w:rPr>
        <w:t>Bu özet bilgilendirme amaçlıdır ve hukuki tavsiye değildir. Her başlığın ayrıntısı ve birincil kaynakları §3'teki ilgili GA bölümündedir; kurumlara iletilecek talepler Tablo B'de, topluluk oylaması Uzlaşı Oy Pusulası'ndadır.</w:t>
      </w:r>
    </w:p>
    <w:p w:rsidR="000A506A" w:rsidRDefault="000A506A">
      <w:pPr>
        <w:rPr>
          <w:b/>
          <w:bCs/>
          <w:color w:val="1F4E79"/>
          <w:sz w:val="28"/>
          <w:szCs w:val="28"/>
        </w:rPr>
      </w:pPr>
      <w:r>
        <w:br w:type="page"/>
      </w:r>
    </w:p>
    <w:p w:rsidR="00D23DE4" w:rsidRDefault="00EF56A4">
      <w:pPr>
        <w:pStyle w:val="Heading10"/>
        <w:pBdr>
          <w:bottom w:val="single" w:sz="6" w:space="4" w:color="2E75B6"/>
        </w:pBdr>
      </w:pPr>
      <w:r>
        <w:t>6. Talep Özeti — Tablo B Bağlantısı</w:t>
      </w:r>
    </w:p>
    <w:p w:rsidR="00D23DE4" w:rsidRDefault="00EF56A4">
      <w:pPr>
        <w:spacing w:before="80" w:after="120"/>
      </w:pPr>
      <w:r>
        <w:t>Gri alanlar ve IARU eksikliklerine</w:t>
      </w:r>
      <w:r w:rsidR="00760C22">
        <w:t xml:space="preserve"> yönelik h</w:t>
      </w:r>
      <w:r>
        <w:t>er talep için gerekçe, dayanak, muhatap kurum ve örnek başvuru taslağı Tablo B'de hazırlanmıştır (22 talep). Aşağıdaki tablo 22 talebin tümünü özetler; gerekçeler, dayanaklar ve örnek başvuru taslakları Tablo B'dedir.</w:t>
      </w:r>
    </w:p>
    <w:tbl>
      <w:tblPr>
        <w:tblW w:w="958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516"/>
        <w:gridCol w:w="1452"/>
        <w:gridCol w:w="3145"/>
        <w:gridCol w:w="1560"/>
        <w:gridCol w:w="1077"/>
        <w:gridCol w:w="1838"/>
      </w:tblGrid>
      <w:tr w:rsidR="00D23DE4" w:rsidTr="00760C22">
        <w:trPr>
          <w:trHeight w:val="206"/>
        </w:trPr>
        <w:tc>
          <w:tcPr>
            <w:tcW w:w="516"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w:t>
            </w:r>
          </w:p>
        </w:tc>
        <w:tc>
          <w:tcPr>
            <w:tcW w:w="1452"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Kod</w:t>
            </w:r>
          </w:p>
        </w:tc>
        <w:tc>
          <w:tcPr>
            <w:tcW w:w="3145"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Talep</w:t>
            </w:r>
          </w:p>
        </w:tc>
        <w:tc>
          <w:tcPr>
            <w:tcW w:w="1560"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Muhatap</w:t>
            </w:r>
          </w:p>
        </w:tc>
        <w:tc>
          <w:tcPr>
            <w:tcW w:w="1077"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Öncelik</w:t>
            </w:r>
          </w:p>
        </w:tc>
        <w:tc>
          <w:tcPr>
            <w:tcW w:w="1838" w:type="dxa"/>
            <w:tcBorders>
              <w:top w:val="single" w:sz="1" w:space="0" w:color="2E75B6"/>
              <w:left w:val="single" w:sz="1" w:space="0" w:color="2E75B6"/>
              <w:bottom w:val="single" w:sz="1" w:space="0" w:color="2E75B6"/>
              <w:right w:val="single" w:sz="1" w:space="0" w:color="2E75B6"/>
            </w:tcBorders>
            <w:shd w:val="clear" w:color="auto" w:fill="1F4E79"/>
            <w:tcMar>
              <w:top w:w="80" w:type="dxa"/>
              <w:left w:w="120" w:type="dxa"/>
              <w:bottom w:w="80" w:type="dxa"/>
              <w:right w:w="120" w:type="dxa"/>
            </w:tcMar>
            <w:vAlign w:val="center"/>
          </w:tcPr>
          <w:p w:rsidR="00D23DE4" w:rsidRDefault="00EF56A4">
            <w:r>
              <w:rPr>
                <w:b/>
                <w:bCs/>
                <w:color w:val="FFFFFF"/>
                <w:sz w:val="18"/>
                <w:szCs w:val="18"/>
              </w:rPr>
              <w:t>Etki</w:t>
            </w:r>
          </w:p>
        </w:tc>
      </w:tr>
      <w:tr w:rsidR="00D23DE4"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7B3791" w:rsidRDefault="00201410">
            <w:r>
              <w:t>1</w:t>
            </w:r>
          </w:p>
        </w:tc>
        <w:tc>
          <w:tcPr>
            <w:tcW w:w="1452"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GA-1</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Amatör Telsizcilik Yönetmeliği çıkarılması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Çok 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Tüm operatörler</w:t>
            </w:r>
          </w:p>
        </w:tc>
      </w:tr>
      <w:tr w:rsidR="00D23DE4" w:rsidTr="00760C22">
        <w:trPr>
          <w:trHeight w:val="419"/>
        </w:trPr>
        <w:tc>
          <w:tcPr>
            <w:tcW w:w="516"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7B3791" w:rsidRDefault="00201410">
            <w:r>
              <w:t>2</w:t>
            </w:r>
          </w:p>
        </w:tc>
        <w:tc>
          <w:tcPr>
            <w:tcW w:w="1452" w:type="dxa"/>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rsidR="00D23DE4" w:rsidRDefault="00EF56A4">
            <w:r>
              <w:rPr>
                <w:color w:val="000000"/>
                <w:sz w:val="18"/>
                <w:szCs w:val="18"/>
              </w:rPr>
              <w:t>GA-3</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CEPT T/R 61-01/61-02 tanınması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Ulaştırma Bak.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Ulusl. amatörler</w:t>
            </w:r>
          </w:p>
        </w:tc>
      </w:tr>
      <w:tr w:rsidR="00D23DE4" w:rsidTr="00760C22">
        <w:trPr>
          <w:trHeight w:val="392"/>
        </w:trPr>
        <w:tc>
          <w:tcPr>
            <w:tcW w:w="516"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3</w:t>
            </w:r>
          </w:p>
        </w:tc>
        <w:tc>
          <w:tcPr>
            <w:tcW w:w="1452"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GA-2</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Belge sınıfı yetki tablosunun netleştirilmesi</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KEGM/BTK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Tüm amatörler</w:t>
            </w:r>
          </w:p>
        </w:tc>
      </w:tr>
      <w:tr w:rsidR="00D23DE4"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4</w:t>
            </w:r>
          </w:p>
        </w:tc>
        <w:tc>
          <w:tcPr>
            <w:tcW w:w="1452"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GA-RX</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RX özgürlüğünü kodifiye eden düzenleme</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Tüm amatörler</w:t>
            </w:r>
          </w:p>
        </w:tc>
      </w:tr>
      <w:tr w:rsidR="00D23DE4" w:rsidTr="00760C22">
        <w:trPr>
          <w:trHeight w:val="514"/>
        </w:trPr>
        <w:tc>
          <w:tcPr>
            <w:tcW w:w="516"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5</w:t>
            </w:r>
          </w:p>
        </w:tc>
        <w:tc>
          <w:tcPr>
            <w:tcW w:w="1452"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GA-RX/Kanal</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7B3791" w:rsidRDefault="00760C22">
            <w:r>
              <w:rPr>
                <w:color w:val="000000"/>
                <w:sz w:val="18"/>
                <w:szCs w:val="18"/>
              </w:rPr>
              <w:t xml:space="preserve">Kanal hafızası frekans kaydı - </w:t>
            </w:r>
            <w:r w:rsidR="00201410" w:rsidRPr="00760C22">
              <w:rPr>
                <w:color w:val="000000"/>
                <w:sz w:val="18"/>
                <w:szCs w:val="18"/>
              </w:rPr>
              <w:t xml:space="preserve"> teknik açıklama ve delil takdiri</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7B3791" w:rsidRPr="00760C22" w:rsidRDefault="00201410">
            <w:pPr>
              <w:rPr>
                <w:color w:val="000000"/>
                <w:sz w:val="18"/>
                <w:szCs w:val="18"/>
              </w:rPr>
            </w:pPr>
            <w:r w:rsidRPr="00760C22">
              <w:rPr>
                <w:color w:val="000000"/>
                <w:sz w:val="18"/>
                <w:szCs w:val="18"/>
              </w:rPr>
              <w:t>BTK + Adalet Bak.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7B3791" w:rsidRPr="00760C22" w:rsidRDefault="00201410">
            <w:pPr>
              <w:rPr>
                <w:color w:val="000000"/>
                <w:sz w:val="18"/>
                <w:szCs w:val="18"/>
              </w:rPr>
            </w:pPr>
            <w:r w:rsidRPr="00760C22">
              <w:rPr>
                <w:color w:val="000000"/>
                <w:sz w:val="18"/>
                <w:szCs w:val="18"/>
              </w:rPr>
              <w:t>Ort</w:t>
            </w:r>
            <w:r w:rsidR="00760C22">
              <w:rPr>
                <w:color w:val="000000"/>
                <w:sz w:val="18"/>
                <w:szCs w:val="18"/>
              </w:rPr>
              <w: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7B3791" w:rsidRPr="00760C22" w:rsidRDefault="00201410">
            <w:pPr>
              <w:rPr>
                <w:color w:val="000000"/>
                <w:sz w:val="18"/>
                <w:szCs w:val="18"/>
              </w:rPr>
            </w:pPr>
            <w:r w:rsidRPr="00760C22">
              <w:rPr>
                <w:color w:val="000000"/>
                <w:sz w:val="18"/>
                <w:szCs w:val="18"/>
              </w:rPr>
              <w:t>Tüm amatörler</w:t>
            </w:r>
          </w:p>
        </w:tc>
      </w:tr>
      <w:tr w:rsidR="00D23DE4"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6</w:t>
            </w:r>
          </w:p>
        </w:tc>
        <w:tc>
          <w:tcPr>
            <w:tcW w:w="1452"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GA-DIG</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 xml:space="preserve">TAD (2018) güncelleme: FT8/Winlink/DMR/SDR</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Dijital kullanıcıları</w:t>
            </w:r>
          </w:p>
        </w:tc>
      </w:tr>
      <w:tr w:rsidR="00D23DE4" w:rsidTr="00760C22">
        <w:trPr>
          <w:trHeight w:val="392"/>
        </w:trPr>
        <w:tc>
          <w:tcPr>
            <w:tcW w:w="516"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7B3791" w:rsidRDefault="00201410">
            <w:r>
              <w:t>7</w:t>
            </w:r>
          </w:p>
        </w:tc>
        <w:tc>
          <w:tcPr>
            <w:tcW w:w="1452" w:type="dxa"/>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rsidR="00D23DE4" w:rsidRDefault="00EF56A4">
            <w:r>
              <w:rPr>
                <w:color w:val="000000"/>
                <w:sz w:val="18"/>
                <w:szCs w:val="18"/>
              </w:rPr>
              <w:t>GA-6</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Anten kurulum güvencesi (KMK uyum)</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Çevre Bak./BTK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Sabit istasyonlar</w:t>
            </w:r>
          </w:p>
        </w:tc>
      </w:tr>
      <w:tr w:rsidR="00D23DE4" w:rsidTr="00760C22">
        <w:trPr>
          <w:trHeight w:val="386"/>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7B3791" w:rsidRDefault="00201410">
            <w:r>
              <w:t>8</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GA-CROSS</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Bireysel role ve APRS yasallaştırılması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BTK/KEGM</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Default="00EF56A4">
            <w:r>
              <w:rPr>
                <w:color w:val="000000"/>
                <w:sz w:val="18"/>
                <w:szCs w:val="18"/>
              </w:rPr>
              <w:t>Role/APRS kullan.</w:t>
            </w:r>
          </w:p>
        </w:tc>
      </w:tr>
      <w:tr w:rsidR="00D23DE4" w:rsidTr="00760C22">
        <w:trPr>
          <w:trHeight w:val="366"/>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7B3791" w:rsidRDefault="00201410">
            <w:r>
              <w:t>9</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GA-NODE</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EchoLink/WebSDR — RTUK/BTK ortak teyit</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BTK+RTUK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Node işleticileri</w:t>
            </w:r>
          </w:p>
        </w:tc>
      </w:tr>
      <w:tr w:rsidR="00D23DE4"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7B3791" w:rsidRDefault="00201410">
            <w:r>
              <w:t>10</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GA-ENFORC</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BTK girişim tespit kapasitesi + role rehberi</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Tüm topluluk</w:t>
            </w:r>
          </w:p>
        </w:tc>
      </w:tr>
      <w:tr w:rsidR="00D23DE4"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7B3791" w:rsidRDefault="00201410">
            <w:r>
              <w:t>11</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GA-4</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Gümrükte geçici cihaz çıkış prosedürü</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Gümrük Bak.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Düşük-Orta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Seyahat amatörler</w:t>
            </w:r>
          </w:p>
        </w:tc>
      </w:tr>
      <w:tr w:rsidR="00D23DE4" w:rsidTr="00760C22">
        <w:trPr>
          <w:trHeight w:val="392"/>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7B3791" w:rsidRDefault="00201410">
            <w:r>
              <w:t>12</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D23DE4" w:rsidRDefault="00EF56A4">
            <w:r>
              <w:rPr>
                <w:color w:val="000000"/>
                <w:sz w:val="18"/>
                <w:szCs w:val="18"/>
              </w:rPr>
              <w:t>GA-POC</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POC yanıltıcı pazarlama — ticari rehber</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Ticaret Bak.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Düşük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D23DE4" w:rsidRPr="003A7C8F" w:rsidRDefault="00EF56A4">
            <w:pPr>
              <w:rPr>
                <w:color w:val="000000"/>
                <w:sz w:val="18"/>
                <w:szCs w:val="18"/>
              </w:rPr>
            </w:pPr>
            <w:r>
              <w:rPr>
                <w:color w:val="000000"/>
                <w:sz w:val="18"/>
                <w:szCs w:val="18"/>
              </w:rPr>
              <w:t>Tüketiciler</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13</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GA-BAND-2</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70,0-70,5 MHz (4m) ikincil amatör tahsisi</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VHF operatörleri</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14</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GA-BAND-3</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 xml:space="preserve">MFP'de tahsisli olup TAD/FTM'de olmayan mikrodalga aralıkları; 2,4 GHz için önce tahsis</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Mikrodalga/ATV</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15</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GA-ARAC</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Mobil istasyon montaj ve kullanım kılavuzu</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Düşük-Orta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Mobil operatörler</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16</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GA-POTA</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POTA arazi izinleri 'hangi kurum' kılavuzu</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 xml:space="preserve">Tarım ve Orman Bak. (DKMP) / ÇŞİB (kıyı)</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Düşük-Orta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Saha aktivasyonu</w:t>
            </w:r>
          </w:p>
        </w:tc>
      </w:tr>
      <w:tr w:rsidR="00201410" w:rsidTr="00760C22">
        <w:trPr>
          <w:trHeight w:val="392"/>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17</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GA-AREDN</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 xml:space="preserve">5,8 GHz TAD emisyon listesi + 'kendi imalı cihaz' tanımı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BTK/KEGM</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Düşük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Mesh kullanıcıları</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18</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GA-LORA</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433 MHz SRD-amatör sınırı; 915 MHz uyarısı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LoRa/Meshtastic</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19</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GA-SK</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Silent Key / çağrı işareti yaşam döngüsü</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KEGM</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Tüm camia</w:t>
            </w:r>
          </w:p>
        </w:tc>
      </w:tr>
      <w:tr w:rsidR="00201410" w:rsidTr="00760C22">
        <w:trPr>
          <w:trHeight w:val="318"/>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20</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GA-CALL</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Bölge değişiminde çağrı işareti taşınabilirliği</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KEGM</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Orta</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Taşınan operatörler</w:t>
            </w:r>
          </w:p>
        </w:tc>
      </w:tr>
      <w:tr w:rsidR="00201410" w:rsidTr="00760C22">
        <w:trPr>
          <w:trHeight w:val="410"/>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21</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GA-CIHAZ</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Cihaz uygunluğu, satışta belge kontrolü, devir kaydı</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BTK + Ticaret Bak.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Tüm camia + kamu</w:t>
            </w:r>
          </w:p>
        </w:tc>
      </w:tr>
      <w:tr w:rsidR="00201410" w:rsidTr="00760C22">
        <w:trPr>
          <w:trHeight w:val="32"/>
        </w:trPr>
        <w:tc>
          <w:tcPr>
            <w:tcW w:w="516"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jc w:val="center"/>
              <w:rPr>
                <w:color w:val="000000"/>
                <w:sz w:val="18"/>
                <w:szCs w:val="18"/>
              </w:rPr>
            </w:pPr>
            <w:r w:rsidRPr="00201410">
              <w:rPr>
                <w:color w:val="000000"/>
                <w:sz w:val="18"/>
                <w:szCs w:val="18"/>
              </w:rPr>
              <w:t>22</w:t>
            </w:r>
          </w:p>
        </w:tc>
        <w:tc>
          <w:tcPr>
            <w:tcW w:w="1452"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rsidR="00201410" w:rsidRPr="00201410" w:rsidRDefault="00201410" w:rsidP="00201410">
            <w:pPr>
              <w:rPr>
                <w:color w:val="000000"/>
                <w:sz w:val="18"/>
                <w:szCs w:val="18"/>
              </w:rPr>
            </w:pPr>
            <w:r w:rsidRPr="00201410">
              <w:rPr>
                <w:color w:val="000000"/>
                <w:sz w:val="18"/>
                <w:szCs w:val="18"/>
              </w:rPr>
              <w:t>GA-EMCOMM</w:t>
            </w:r>
          </w:p>
        </w:tc>
        <w:tc>
          <w:tcPr>
            <w:tcW w:w="314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AFAD ile afet haberleşme protokolü (MOU)</w:t>
            </w:r>
          </w:p>
        </w:tc>
        <w:tc>
          <w:tcPr>
            <w:tcW w:w="1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AFAD + KEGM/BTK</w:t>
            </w:r>
          </w:p>
        </w:tc>
        <w:tc>
          <w:tcPr>
            <w:tcW w:w="1077"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Yüksek</w:t>
            </w:r>
          </w:p>
        </w:tc>
        <w:tc>
          <w:tcPr>
            <w:tcW w:w="18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rsidR="00201410" w:rsidRPr="003A7C8F" w:rsidRDefault="00201410" w:rsidP="00201410">
            <w:pPr>
              <w:rPr>
                <w:color w:val="000000"/>
                <w:sz w:val="18"/>
                <w:szCs w:val="18"/>
              </w:rPr>
            </w:pPr>
            <w:r w:rsidRPr="003A7C8F">
              <w:rPr>
                <w:color w:val="000000"/>
                <w:sz w:val="18"/>
                <w:szCs w:val="18"/>
              </w:rPr>
              <w:t>Tüm camia</w:t>
            </w:r>
          </w:p>
        </w:tc>
      </w:tr>
    </w:tbl>
    <w:p w:rsidR="00D23DE4" w:rsidRDefault="00D23DE4">
      <w:pPr>
        <w:spacing w:before="120"/>
      </w:pPr>
    </w:p>
    <w:p w:rsidR="00245ED4" w:rsidRDefault="00310E17">
      <w:r>
        <w:rPr>
          <w:i/>
        </w:rPr>
        <w:t>Not: IARU Bölge 1 Türkiye üyesi kuruluş TRAC'tır (bilgi amaçlı; bu belge herhangi bir derneğe rol atfetmez).</w:t>
      </w:r>
    </w:p>
    <w:sectPr w:rsidR="00245ED4" w:rsidSect="003A7C8F">
      <w:headerReference w:type="default" r:id="rId9"/>
      <w:footerReference w:type="default" r:id="rId10"/>
      <w:pgSz w:w="11906" w:h="16838"/>
      <w:pgMar w:top="993" w:right="113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575" w:rsidRDefault="006B4575" w:rsidP="00D23DE4">
      <w:r>
        <w:separator/>
      </w:r>
    </w:p>
  </w:endnote>
  <w:endnote w:type="continuationSeparator" w:id="1">
    <w:p w:rsidR="006B4575" w:rsidRDefault="006B4575" w:rsidP="00D23DE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410" w:rsidRDefault="00201410">
    <w:pPr>
      <w:pBdr>
        <w:top w:val="single" w:sz="4" w:space="4" w:color="2E75B6"/>
      </w:pBdr>
    </w:pPr>
    <w:r>
      <w:rPr>
        <w:color w:val="666666"/>
        <w:sz w:val="16"/>
        <w:szCs w:val="16"/>
      </w:rPr>
      <w:t xml:space="preserve">Sayfa </w:t>
    </w:r>
    <w:r w:rsidR="009F7EB0">
      <w:rPr>
        <w:color w:val="666666"/>
        <w:sz w:val="16"/>
        <w:szCs w:val="16"/>
      </w:rPr>
      <w:fldChar w:fldCharType="begin"/>
    </w:r>
    <w:r>
      <w:rPr>
        <w:color w:val="666666"/>
        <w:sz w:val="16"/>
        <w:szCs w:val="16"/>
      </w:rPr>
      <w:instrText>PAGE</w:instrText>
    </w:r>
    <w:r w:rsidR="009F7EB0">
      <w:rPr>
        <w:color w:val="666666"/>
        <w:sz w:val="16"/>
        <w:szCs w:val="16"/>
      </w:rPr>
      <w:fldChar w:fldCharType="separate"/>
    </w:r>
    <w:r w:rsidR="004E6DB2">
      <w:rPr>
        <w:noProof/>
        <w:color w:val="666666"/>
        <w:sz w:val="16"/>
        <w:szCs w:val="16"/>
      </w:rPr>
      <w:t>6</w:t>
    </w:r>
    <w:r w:rsidR="009F7EB0">
      <w:rPr>
        <w:color w:val="666666"/>
        <w:sz w:val="16"/>
        <w:szCs w:val="16"/>
      </w:rPr>
      <w:fldChar w:fldCharType="end"/>
    </w:r>
    <w:r>
      <w:rPr>
        <w:color w:val="666666"/>
        <w:sz w:val="16"/>
        <w:szCs w:val="16"/>
      </w:rPr>
      <w:t xml:space="preserve"> / </w:t>
    </w:r>
    <w:r w:rsidR="009F7EB0">
      <w:rPr>
        <w:color w:val="666666"/>
        <w:sz w:val="16"/>
        <w:szCs w:val="16"/>
      </w:rPr>
      <w:fldChar w:fldCharType="begin"/>
    </w:r>
    <w:r>
      <w:rPr>
        <w:color w:val="666666"/>
        <w:sz w:val="16"/>
        <w:szCs w:val="16"/>
      </w:rPr>
      <w:instrText>NUMPAGES</w:instrText>
    </w:r>
    <w:r w:rsidR="009F7EB0">
      <w:rPr>
        <w:color w:val="666666"/>
        <w:sz w:val="16"/>
        <w:szCs w:val="16"/>
      </w:rPr>
      <w:fldChar w:fldCharType="separate"/>
    </w:r>
    <w:r w:rsidR="004E6DB2">
      <w:rPr>
        <w:noProof/>
        <w:color w:val="666666"/>
        <w:sz w:val="16"/>
        <w:szCs w:val="16"/>
      </w:rPr>
      <w:t>7</w:t>
    </w:r>
    <w:r w:rsidR="009F7EB0">
      <w:rPr>
        <w:color w:val="666666"/>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575" w:rsidRDefault="006B4575" w:rsidP="00D23DE4">
      <w:r>
        <w:separator/>
      </w:r>
    </w:p>
  </w:footnote>
  <w:footnote w:type="continuationSeparator" w:id="1">
    <w:p w:rsidR="006B4575" w:rsidRDefault="006B4575" w:rsidP="00D23D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410" w:rsidRDefault="00201410">
    <w:pPr>
      <w:pBdr>
        <w:bottom w:val="single" w:sz="4" w:space="4" w:color="2E75B6"/>
      </w:pBdr>
    </w:pPr>
    <w:r>
      <w:rPr>
        <w:color w:val="666666"/>
        <w:sz w:val="16"/>
        <w:szCs w:val="16"/>
      </w:rPr>
      <w:t xml:space="preserve">Amatör Telsizcilik — TR Mevzuat Analizi v1.5</w:t>
    </w:r>
    <w:r w:rsidR="004E6DB2">
      <w:rPr>
        <w:color w:val="666666"/>
        <w:sz w:val="16"/>
        <w:szCs w:val="16"/>
      </w:rPr>
      <w:t xml:space="preserve"/>
    </w:r>
    <w:r>
      <w:rPr>
        <w:color w:val="666666"/>
        <w:sz w:val="16"/>
        <w:szCs w:val="16"/>
      </w:rPr>
      <w:t xml:space="preserve">  |  Tablo A + Gri Alanlar  |  </w:t>
    </w:r>
    <w:r w:rsidR="004E6DB2">
      <w:rPr>
        <w:color w:val="666666"/>
        <w:sz w:val="16"/>
        <w:szCs w:val="16"/>
      </w:rPr>
      <w:t xml:space="preserve">11 Ekim 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A36A3"/>
    <w:multiLevelType w:val="hybridMultilevel"/>
    <w:tmpl w:val="7D8A79AA"/>
    <w:lvl w:ilvl="0" w:tplc="DA269118">
      <w:start w:val="1"/>
      <w:numFmt w:val="bullet"/>
      <w:lvlText w:val="."/>
      <w:lvlJc w:val="left"/>
      <w:pPr>
        <w:ind w:left="720" w:hanging="360"/>
      </w:pPr>
    </w:lvl>
    <w:lvl w:ilvl="1" w:tplc="C2360A7E">
      <w:start w:val="1"/>
      <w:numFmt w:val="bullet"/>
      <w:lvlText w:val="o"/>
      <w:lvlJc w:val="left"/>
      <w:pPr>
        <w:ind w:left="1080" w:hanging="360"/>
      </w:pPr>
    </w:lvl>
    <w:lvl w:ilvl="2" w:tplc="D8049290">
      <w:numFmt w:val="decimal"/>
      <w:lvlText w:val=""/>
      <w:lvlJc w:val="left"/>
    </w:lvl>
    <w:lvl w:ilvl="3" w:tplc="3708AFD2">
      <w:numFmt w:val="decimal"/>
      <w:lvlText w:val=""/>
      <w:lvlJc w:val="left"/>
    </w:lvl>
    <w:lvl w:ilvl="4" w:tplc="C162666E">
      <w:numFmt w:val="decimal"/>
      <w:lvlText w:val=""/>
      <w:lvlJc w:val="left"/>
    </w:lvl>
    <w:lvl w:ilvl="5" w:tplc="1760292E">
      <w:numFmt w:val="decimal"/>
      <w:lvlText w:val=""/>
      <w:lvlJc w:val="left"/>
    </w:lvl>
    <w:lvl w:ilvl="6" w:tplc="0E924A1E">
      <w:numFmt w:val="decimal"/>
      <w:lvlText w:val=""/>
      <w:lvlJc w:val="left"/>
    </w:lvl>
    <w:lvl w:ilvl="7" w:tplc="D4D0CF94">
      <w:numFmt w:val="decimal"/>
      <w:lvlText w:val=""/>
      <w:lvlJc w:val="left"/>
    </w:lvl>
    <w:lvl w:ilvl="8" w:tplc="EF7C31E2">
      <w:numFmt w:val="decimal"/>
      <w:lvlText w:val=""/>
      <w:lvlJc w:val="left"/>
    </w:lvl>
  </w:abstractNum>
  <w:abstractNum w:abstractNumId="1">
    <w:nsid w:val="6C2475C7"/>
    <w:multiLevelType w:val="hybridMultilevel"/>
    <w:tmpl w:val="182A6000"/>
    <w:lvl w:ilvl="0" w:tplc="7BE6AD34">
      <w:start w:val="1"/>
      <w:numFmt w:val="bullet"/>
      <w:lvlText w:val="●"/>
      <w:lvlJc w:val="left"/>
      <w:pPr>
        <w:ind w:left="720" w:hanging="360"/>
      </w:pPr>
    </w:lvl>
    <w:lvl w:ilvl="1" w:tplc="36943CD0">
      <w:start w:val="1"/>
      <w:numFmt w:val="bullet"/>
      <w:lvlText w:val="○"/>
      <w:lvlJc w:val="left"/>
      <w:pPr>
        <w:ind w:left="1440" w:hanging="360"/>
      </w:pPr>
    </w:lvl>
    <w:lvl w:ilvl="2" w:tplc="4BB0EC42">
      <w:start w:val="1"/>
      <w:numFmt w:val="bullet"/>
      <w:lvlText w:val="■"/>
      <w:lvlJc w:val="left"/>
      <w:pPr>
        <w:ind w:left="2160" w:hanging="360"/>
      </w:pPr>
    </w:lvl>
    <w:lvl w:ilvl="3" w:tplc="59AED768">
      <w:start w:val="1"/>
      <w:numFmt w:val="bullet"/>
      <w:lvlText w:val="●"/>
      <w:lvlJc w:val="left"/>
      <w:pPr>
        <w:ind w:left="2880" w:hanging="360"/>
      </w:pPr>
    </w:lvl>
    <w:lvl w:ilvl="4" w:tplc="4B8E1E74">
      <w:start w:val="1"/>
      <w:numFmt w:val="bullet"/>
      <w:lvlText w:val="○"/>
      <w:lvlJc w:val="left"/>
      <w:pPr>
        <w:ind w:left="3600" w:hanging="360"/>
      </w:pPr>
    </w:lvl>
    <w:lvl w:ilvl="5" w:tplc="9A203740">
      <w:start w:val="1"/>
      <w:numFmt w:val="bullet"/>
      <w:lvlText w:val="■"/>
      <w:lvlJc w:val="left"/>
      <w:pPr>
        <w:ind w:left="4320" w:hanging="360"/>
      </w:pPr>
    </w:lvl>
    <w:lvl w:ilvl="6" w:tplc="F990B0D0">
      <w:start w:val="1"/>
      <w:numFmt w:val="bullet"/>
      <w:lvlText w:val="●"/>
      <w:lvlJc w:val="left"/>
      <w:pPr>
        <w:ind w:left="5040" w:hanging="360"/>
      </w:pPr>
    </w:lvl>
    <w:lvl w:ilvl="7" w:tplc="BC7A0E92">
      <w:start w:val="1"/>
      <w:numFmt w:val="bullet"/>
      <w:lvlText w:val="●"/>
      <w:lvlJc w:val="left"/>
      <w:pPr>
        <w:ind w:left="5760" w:hanging="360"/>
      </w:pPr>
    </w:lvl>
    <w:lvl w:ilvl="8" w:tplc="41FE294E">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8"/>
  <w:hyphenationZone w:val="425"/>
  <w:characterSpacingControl w:val="doNotCompress"/>
  <w:footnotePr>
    <w:footnote w:id="0"/>
    <w:footnote w:id="1"/>
  </w:footnotePr>
  <w:endnotePr>
    <w:endnote w:id="0"/>
    <w:endnote w:id="1"/>
  </w:endnotePr>
  <w:compat/>
  <w:rsids>
    <w:rsidRoot w:val="00D23DE4"/>
    <w:rsid w:val="000A506A"/>
    <w:rsid w:val="000E6879"/>
    <w:rsid w:val="000F5FE9"/>
    <w:rsid w:val="00137224"/>
    <w:rsid w:val="00201410"/>
    <w:rsid w:val="00234BA6"/>
    <w:rsid w:val="00245ED4"/>
    <w:rsid w:val="00310E17"/>
    <w:rsid w:val="003A7C8F"/>
    <w:rsid w:val="004E6DB2"/>
    <w:rsid w:val="005338D9"/>
    <w:rsid w:val="006054A1"/>
    <w:rsid w:val="006B4575"/>
    <w:rsid w:val="00760C22"/>
    <w:rsid w:val="007B3791"/>
    <w:rsid w:val="00824275"/>
    <w:rsid w:val="009F7EB0"/>
    <w:rsid w:val="00BF3417"/>
    <w:rsid w:val="00D23DE4"/>
    <w:rsid w:val="00D459B9"/>
    <w:rsid w:val="00EF56A4"/>
    <w:rsid w:val="00F15ED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ED4"/>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qFormat/>
    <w:rsid w:val="00D23DE4"/>
    <w:rPr>
      <w:sz w:val="56"/>
      <w:szCs w:val="56"/>
    </w:rPr>
  </w:style>
  <w:style w:type="paragraph" w:customStyle="1" w:styleId="Heading1">
    <w:name w:val="Heading 1"/>
    <w:qFormat/>
    <w:rsid w:val="00D23DE4"/>
    <w:rPr>
      <w:color w:val="2E74B5"/>
      <w:sz w:val="32"/>
      <w:szCs w:val="32"/>
    </w:rPr>
  </w:style>
  <w:style w:type="paragraph" w:customStyle="1" w:styleId="Heading2">
    <w:name w:val="Heading 2"/>
    <w:qFormat/>
    <w:rsid w:val="00D23DE4"/>
    <w:rPr>
      <w:color w:val="2E74B5"/>
      <w:sz w:val="26"/>
      <w:szCs w:val="26"/>
    </w:rPr>
  </w:style>
  <w:style w:type="paragraph" w:customStyle="1" w:styleId="Heading3">
    <w:name w:val="Heading 3"/>
    <w:qFormat/>
    <w:rsid w:val="00D23DE4"/>
    <w:rPr>
      <w:color w:val="1F4D78"/>
      <w:sz w:val="24"/>
      <w:szCs w:val="24"/>
    </w:rPr>
  </w:style>
  <w:style w:type="paragraph" w:customStyle="1" w:styleId="Heading4">
    <w:name w:val="Heading 4"/>
    <w:qFormat/>
    <w:rsid w:val="00D23DE4"/>
    <w:rPr>
      <w:i/>
      <w:iCs/>
      <w:color w:val="2E74B5"/>
    </w:rPr>
  </w:style>
  <w:style w:type="paragraph" w:customStyle="1" w:styleId="Heading5">
    <w:name w:val="Heading 5"/>
    <w:qFormat/>
    <w:rsid w:val="00D23DE4"/>
    <w:rPr>
      <w:color w:val="2E74B5"/>
    </w:rPr>
  </w:style>
  <w:style w:type="paragraph" w:customStyle="1" w:styleId="Heading6">
    <w:name w:val="Heading 6"/>
    <w:qFormat/>
    <w:rsid w:val="00D23DE4"/>
    <w:rPr>
      <w:color w:val="1F4D78"/>
    </w:rPr>
  </w:style>
  <w:style w:type="paragraph" w:customStyle="1" w:styleId="Gl1">
    <w:name w:val="Güçlü1"/>
    <w:qFormat/>
    <w:rsid w:val="00D23DE4"/>
    <w:rPr>
      <w:b/>
      <w:bCs/>
    </w:rPr>
  </w:style>
  <w:style w:type="paragraph" w:styleId="ListeParagraf">
    <w:name w:val="List Paragraph"/>
    <w:qFormat/>
    <w:rsid w:val="00D23DE4"/>
  </w:style>
  <w:style w:type="character" w:styleId="Kpr">
    <w:name w:val="Hyperlink"/>
    <w:uiPriority w:val="99"/>
    <w:unhideWhenUsed/>
    <w:rsid w:val="00D23DE4"/>
    <w:rPr>
      <w:color w:val="0563C1"/>
      <w:u w:val="single"/>
    </w:rPr>
  </w:style>
  <w:style w:type="character" w:styleId="DipnotBavurusu">
    <w:name w:val="footnote reference"/>
    <w:uiPriority w:val="99"/>
    <w:semiHidden/>
    <w:unhideWhenUsed/>
    <w:rsid w:val="00D23DE4"/>
    <w:rPr>
      <w:vertAlign w:val="superscript"/>
    </w:rPr>
  </w:style>
  <w:style w:type="paragraph" w:styleId="DipnotMetni">
    <w:name w:val="footnote text"/>
    <w:link w:val="DipnotMetniChar"/>
    <w:uiPriority w:val="99"/>
    <w:semiHidden/>
    <w:unhideWhenUsed/>
    <w:rsid w:val="00D23DE4"/>
  </w:style>
  <w:style w:type="character" w:customStyle="1" w:styleId="DipnotMetniChar">
    <w:name w:val="Dipnot Metni Char"/>
    <w:link w:val="DipnotMetni"/>
    <w:uiPriority w:val="99"/>
    <w:semiHidden/>
    <w:unhideWhenUsed/>
    <w:rsid w:val="00D23DE4"/>
    <w:rPr>
      <w:sz w:val="20"/>
      <w:szCs w:val="20"/>
    </w:rPr>
  </w:style>
  <w:style w:type="character" w:styleId="SonnotBavurusu">
    <w:name w:val="endnote reference"/>
    <w:uiPriority w:val="99"/>
    <w:semiHidden/>
    <w:unhideWhenUsed/>
    <w:rsid w:val="00D23DE4"/>
    <w:rPr>
      <w:vertAlign w:val="superscript"/>
    </w:rPr>
  </w:style>
  <w:style w:type="paragraph" w:styleId="SonnotMetni">
    <w:name w:val="endnote text"/>
    <w:link w:val="SonnotMetniChar"/>
    <w:uiPriority w:val="99"/>
    <w:semiHidden/>
    <w:unhideWhenUsed/>
    <w:rsid w:val="00D23DE4"/>
  </w:style>
  <w:style w:type="character" w:customStyle="1" w:styleId="SonnotMetniChar">
    <w:name w:val="Sonnot Metni Char"/>
    <w:link w:val="SonnotMetni"/>
    <w:uiPriority w:val="99"/>
    <w:semiHidden/>
    <w:unhideWhenUsed/>
    <w:rsid w:val="00D23DE4"/>
    <w:rPr>
      <w:sz w:val="20"/>
      <w:szCs w:val="20"/>
    </w:rPr>
  </w:style>
  <w:style w:type="paragraph" w:customStyle="1" w:styleId="Heading10">
    <w:name w:val="Heading 1"/>
    <w:qFormat/>
    <w:rsid w:val="00D23DE4"/>
    <w:pPr>
      <w:spacing w:before="320" w:after="160"/>
      <w:outlineLvl w:val="0"/>
    </w:pPr>
    <w:rPr>
      <w:b/>
      <w:bCs/>
      <w:color w:val="1F4E79"/>
      <w:sz w:val="28"/>
      <w:szCs w:val="28"/>
    </w:rPr>
  </w:style>
  <w:style w:type="paragraph" w:customStyle="1" w:styleId="Heading20">
    <w:name w:val="Heading 2"/>
    <w:qFormat/>
    <w:rsid w:val="00D23DE4"/>
    <w:pPr>
      <w:spacing w:before="240" w:after="120"/>
      <w:outlineLvl w:val="1"/>
    </w:pPr>
    <w:rPr>
      <w:b/>
      <w:bCs/>
      <w:color w:val="2E75B6"/>
      <w:sz w:val="24"/>
      <w:szCs w:val="24"/>
    </w:rPr>
  </w:style>
  <w:style w:type="paragraph" w:customStyle="1" w:styleId="Heading30">
    <w:name w:val="Heading 3"/>
    <w:qFormat/>
    <w:rsid w:val="00D23DE4"/>
    <w:pPr>
      <w:spacing w:before="160" w:after="80"/>
      <w:outlineLvl w:val="2"/>
    </w:pPr>
    <w:rPr>
      <w:b/>
      <w:bCs/>
      <w:color w:val="404040"/>
      <w:sz w:val="22"/>
      <w:szCs w:val="22"/>
    </w:rPr>
  </w:style>
</w:styles>
</file>

<file path=word/webSettings.xml><?xml version="1.0" encoding="utf-8"?>
<w:webSettings xmlns:r="http://schemas.openxmlformats.org/officeDocument/2006/relationships" xmlns:w="http://schemas.openxmlformats.org/wordprocessingml/2006/main">
  <w:divs>
    <w:div w:id="208415519">
      <w:bodyDiv w:val="1"/>
      <w:marLeft w:val="0"/>
      <w:marRight w:val="0"/>
      <w:marTop w:val="0"/>
      <w:marBottom w:val="0"/>
      <w:divBdr>
        <w:top w:val="none" w:sz="0" w:space="0" w:color="auto"/>
        <w:left w:val="none" w:sz="0" w:space="0" w:color="auto"/>
        <w:bottom w:val="none" w:sz="0" w:space="0" w:color="auto"/>
        <w:right w:val="none" w:sz="0" w:space="0" w:color="auto"/>
      </w:divBdr>
      <w:divsChild>
        <w:div w:id="52625915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43</TotalTime>
  <Pages>7</Pages>
  <Words>10111</Words>
  <Characters>57638</Characters>
  <Application>Microsoft Office Word</Application>
  <DocSecurity>0</DocSecurity>
  <Lines>480</Lines>
  <Paragraphs>135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dcterms:created xsi:type="dcterms:W3CDTF">2026-06-30T14:13:00Z</dcterms:created>
  <dcterms:modified xsi:type="dcterms:W3CDTF">2026-08-07T11:25:00Z</dcterms:modified>
</cp:coreProperties>
</file>