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D87" w:rsidRDefault="00914645">
      <w:pPr>
        <w:spacing w:after="40"/>
        <w:jc w:val="center"/>
      </w:pPr>
      <w:r>
        <w:rPr>
          <w:b/>
          <w:bCs/>
          <w:color w:val="888888"/>
          <w:sz w:val="26"/>
          <w:szCs w:val="26"/>
        </w:rPr>
        <w:t>AMATÖR TELSİZCİLİ</w:t>
      </w:r>
      <w:r w:rsidR="00331EA2">
        <w:rPr>
          <w:b/>
          <w:bCs/>
          <w:color w:val="888888"/>
          <w:sz w:val="26"/>
          <w:szCs w:val="26"/>
        </w:rPr>
        <w:t>K</w:t>
      </w:r>
    </w:p>
    <w:p w:rsidR="005C0D87" w:rsidRDefault="00914645">
      <w:pPr>
        <w:spacing w:after="60"/>
        <w:jc w:val="center"/>
      </w:pPr>
      <w:r>
        <w:rPr>
          <w:b/>
          <w:bCs/>
          <w:color w:val="1F3864"/>
          <w:sz w:val="40"/>
          <w:szCs w:val="40"/>
        </w:rPr>
        <w:t>TABLO B — KURUMLARA TALEP YAZILARI</w:t>
      </w:r>
    </w:p>
    <w:p w:rsidR="005C0D87" w:rsidRDefault="00914645">
      <w:pPr>
        <w:spacing w:after="200"/>
        <w:jc w:val="center"/>
      </w:pPr>
      <w:r>
        <w:rPr>
          <w:color w:val="2E75B6"/>
          <w:sz w:val="20"/>
          <w:szCs w:val="20"/>
        </w:rPr>
        <w:t>Talep Matrisi · Gerekçe · Dayanak · Kuruma Göre Örnek Başvuru Taslakları</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6626"/>
      </w:tblGrid>
      <w:tr w:rsidR="005C0D87">
        <w:tc>
          <w:tcPr>
            <w:tcW w:w="240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b/>
                <w:bCs/>
                <w:color w:val="000000"/>
                <w:sz w:val="18"/>
                <w:szCs w:val="18"/>
              </w:rPr>
              <w:t>Hazırlayan</w:t>
            </w:r>
          </w:p>
        </w:tc>
        <w:tc>
          <w:tcPr>
            <w:tcW w:w="6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Amatör telsiz camiası — gönüllü hukuk/mevzuat çalışma grubu</w:t>
            </w:r>
          </w:p>
        </w:tc>
      </w:tr>
      <w:tr w:rsidR="005C0D87">
        <w:tc>
          <w:tcPr>
            <w:tcW w:w="240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b/>
                <w:bCs/>
                <w:color w:val="000000"/>
                <w:sz w:val="18"/>
                <w:szCs w:val="18"/>
              </w:rPr>
              <w:t>Tarih</w:t>
            </w:r>
          </w:p>
        </w:tc>
        <w:tc>
          <w:tcPr>
            <w:tcW w:w="6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1 Temmuz 2026</w:t>
            </w:r>
          </w:p>
        </w:tc>
      </w:tr>
      <w:tr w:rsidR="005C0D87">
        <w:tc>
          <w:tcPr>
            <w:tcW w:w="240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b/>
                <w:bCs/>
                <w:color w:val="000000"/>
                <w:sz w:val="18"/>
                <w:szCs w:val="18"/>
              </w:rPr>
              <w:t>Sürüm</w:t>
            </w:r>
          </w:p>
        </w:tc>
        <w:tc>
          <w:tcPr>
            <w:tcW w:w="6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v1.0 (iç çalışma v2) — GA-SK/GA-CALL eklendi; TRAC rol atfı nötrleştirildi</w:t>
            </w:r>
            <w:r>
              <w:t>; GA-RX/Kanal talebi ve Taslak 12 eklendi (26.07.2026)</w:t>
            </w:r>
          </w:p>
        </w:tc>
      </w:tr>
      <w:tr w:rsidR="005C0D87">
        <w:tc>
          <w:tcPr>
            <w:tcW w:w="240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b/>
                <w:bCs/>
                <w:color w:val="000000"/>
                <w:sz w:val="18"/>
                <w:szCs w:val="18"/>
              </w:rPr>
              <w:t>Eşlik eden dosyalar</w:t>
            </w:r>
          </w:p>
        </w:tc>
        <w:tc>
          <w:tcPr>
            <w:tcW w:w="6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Tablo A Mevzuat Analizi (v1.0), Mevzuat Envanteri (v1.0), Uzlaşı Oy Pusulası (v1.0)</w:t>
            </w:r>
          </w:p>
        </w:tc>
      </w:tr>
      <w:tr w:rsidR="005C0D87">
        <w:tc>
          <w:tcPr>
            <w:tcW w:w="240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b/>
                <w:bCs/>
                <w:color w:val="000000"/>
                <w:sz w:val="18"/>
                <w:szCs w:val="18"/>
              </w:rPr>
              <w:t>Kapsam</w:t>
            </w:r>
          </w:p>
        </w:tc>
        <w:tc>
          <w:tcPr>
            <w:tcW w:w="6626"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Kuruma giden C (yazılı görüş) ve D (mevzuat değişikliği) nitelikli 22 talep</w:t>
            </w:r>
          </w:p>
        </w:tc>
      </w:tr>
    </w:tbl>
    <w:p w:rsidR="005C0D87" w:rsidRDefault="005C0D87">
      <w:pPr>
        <w:spacing w:before="200"/>
      </w:pPr>
    </w:p>
    <w:p w:rsidR="005C0D87" w:rsidRDefault="00914645">
      <w:pPr>
        <w:pStyle w:val="Heading10"/>
      </w:pPr>
      <w:r>
        <w:t>1. Bu Belge Nasıl Kullanılır</w:t>
      </w:r>
    </w:p>
    <w:p w:rsidR="005C0D87" w:rsidRDefault="00914645">
      <w:pPr>
        <w:spacing w:after="120"/>
        <w:jc w:val="both"/>
      </w:pPr>
      <w:r>
        <w:t>Bu belge, amatör telsizcilik (amatör radyoculuk) alanında Tablo A'da tespit edilen gri alanların kurumlar nezdinde çözümü için hazırlanmış talep setidir. Aşağıdaki matris, her talebin hedef kurumunu, dayanağını ve türünü (C: yazılı görüş talebi, D: mevzuat değişikliği talebi) özetler. Ardından her kurum için, dernek/kulüp adına doğrudan gönderilebilecek örnek başvuru taslakları verilmiştir. Taslaklardaki köşeli parantezli alanlar (ad-soyad, çağrı işareti, kulüp adı, tarih) gönderim öncesi doldurulmalıdır.</w:t>
      </w:r>
    </w:p>
    <w:p w:rsidR="005C0D87" w:rsidRDefault="00914645">
      <w:pPr>
        <w:spacing w:after="200"/>
        <w:jc w:val="both"/>
      </w:pPr>
      <w:r>
        <w:t>Not: Talepler, kolektif hukuki izlemenin bireysel girişimden daha etkili olduğu ilkesiyle ve mevcut iyi uygulamayı yasal çerçeveye kavuşturma çerçevesinde kurgulanmıştır. Belgedeki tüm dayanaklar Tablo A'nın birincil kaynaklarına dayanır.</w:t>
      </w:r>
    </w:p>
    <w:p w:rsidR="005C0D87" w:rsidRDefault="00914645">
      <w:pPr>
        <w:pStyle w:val="Heading10"/>
      </w:pPr>
      <w:r>
        <w:t>2. Talep Matrisi</w:t>
      </w:r>
    </w:p>
    <w:tbl>
      <w:tblPr>
        <w:tblW w:w="90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99"/>
        <w:gridCol w:w="2909"/>
        <w:gridCol w:w="1662"/>
        <w:gridCol w:w="1873"/>
        <w:gridCol w:w="833"/>
        <w:gridCol w:w="750"/>
      </w:tblGrid>
      <w:tr w:rsidR="005C0D87" w:rsidTr="0051352E">
        <w:trPr>
          <w:tblHeader/>
        </w:trPr>
        <w:tc>
          <w:tcPr>
            <w:tcW w:w="999" w:type="dxa"/>
            <w:tcBorders>
              <w:top w:val="single" w:sz="1" w:space="0" w:color="BFBFBF"/>
              <w:left w:val="single" w:sz="1" w:space="0" w:color="BFBFBF"/>
              <w:bottom w:val="single" w:sz="1" w:space="0" w:color="BFBFBF"/>
              <w:right w:val="single" w:sz="1" w:space="0" w:color="BFBFBF"/>
            </w:tcBorders>
            <w:shd w:val="clear" w:color="auto" w:fill="1F3864"/>
            <w:tcMar>
              <w:top w:w="60" w:type="dxa"/>
              <w:left w:w="100" w:type="dxa"/>
              <w:bottom w:w="60" w:type="dxa"/>
              <w:right w:w="100" w:type="dxa"/>
            </w:tcMar>
          </w:tcPr>
          <w:p w:rsidR="005C0D87" w:rsidRDefault="00914645">
            <w:pPr>
              <w:jc w:val="center"/>
            </w:pPr>
            <w:r>
              <w:rPr>
                <w:b/>
                <w:bCs/>
                <w:color w:val="FFFFFF"/>
                <w:sz w:val="18"/>
                <w:szCs w:val="18"/>
              </w:rPr>
              <w:t>GA</w:t>
            </w:r>
          </w:p>
        </w:tc>
        <w:tc>
          <w:tcPr>
            <w:tcW w:w="2909" w:type="dxa"/>
            <w:tcBorders>
              <w:top w:val="single" w:sz="1" w:space="0" w:color="BFBFBF"/>
              <w:left w:val="single" w:sz="1" w:space="0" w:color="BFBFBF"/>
              <w:bottom w:val="single" w:sz="1" w:space="0" w:color="BFBFBF"/>
              <w:right w:val="single" w:sz="1" w:space="0" w:color="BFBFBF"/>
            </w:tcBorders>
            <w:shd w:val="clear" w:color="auto" w:fill="1F3864"/>
            <w:tcMar>
              <w:top w:w="60" w:type="dxa"/>
              <w:left w:w="100" w:type="dxa"/>
              <w:bottom w:w="60" w:type="dxa"/>
              <w:right w:w="100" w:type="dxa"/>
            </w:tcMar>
          </w:tcPr>
          <w:p w:rsidR="005C0D87" w:rsidRDefault="00914645">
            <w:r>
              <w:rPr>
                <w:b/>
                <w:bCs/>
                <w:color w:val="FFFFFF"/>
                <w:sz w:val="18"/>
                <w:szCs w:val="18"/>
              </w:rPr>
              <w:t>Talep Konusu</w:t>
            </w:r>
          </w:p>
        </w:tc>
        <w:tc>
          <w:tcPr>
            <w:tcW w:w="1662" w:type="dxa"/>
            <w:tcBorders>
              <w:top w:val="single" w:sz="1" w:space="0" w:color="BFBFBF"/>
              <w:left w:val="single" w:sz="1" w:space="0" w:color="BFBFBF"/>
              <w:bottom w:val="single" w:sz="1" w:space="0" w:color="BFBFBF"/>
              <w:right w:val="single" w:sz="1" w:space="0" w:color="BFBFBF"/>
            </w:tcBorders>
            <w:shd w:val="clear" w:color="auto" w:fill="1F3864"/>
            <w:tcMar>
              <w:top w:w="60" w:type="dxa"/>
              <w:left w:w="100" w:type="dxa"/>
              <w:bottom w:w="60" w:type="dxa"/>
              <w:right w:w="100" w:type="dxa"/>
            </w:tcMar>
          </w:tcPr>
          <w:p w:rsidR="005C0D87" w:rsidRDefault="00914645">
            <w:r>
              <w:rPr>
                <w:b/>
                <w:bCs/>
                <w:color w:val="FFFFFF"/>
                <w:sz w:val="18"/>
                <w:szCs w:val="18"/>
              </w:rPr>
              <w:t>Hedef Kurum</w:t>
            </w:r>
          </w:p>
        </w:tc>
        <w:tc>
          <w:tcPr>
            <w:tcW w:w="1873" w:type="dxa"/>
            <w:tcBorders>
              <w:top w:val="single" w:sz="1" w:space="0" w:color="BFBFBF"/>
              <w:left w:val="single" w:sz="1" w:space="0" w:color="BFBFBF"/>
              <w:bottom w:val="single" w:sz="1" w:space="0" w:color="BFBFBF"/>
              <w:right w:val="single" w:sz="1" w:space="0" w:color="BFBFBF"/>
            </w:tcBorders>
            <w:shd w:val="clear" w:color="auto" w:fill="1F3864"/>
            <w:tcMar>
              <w:top w:w="60" w:type="dxa"/>
              <w:left w:w="100" w:type="dxa"/>
              <w:bottom w:w="60" w:type="dxa"/>
              <w:right w:w="100" w:type="dxa"/>
            </w:tcMar>
          </w:tcPr>
          <w:p w:rsidR="005C0D87" w:rsidRDefault="00914645">
            <w:r>
              <w:rPr>
                <w:b/>
                <w:bCs/>
                <w:color w:val="FFFFFF"/>
                <w:sz w:val="18"/>
                <w:szCs w:val="18"/>
              </w:rPr>
              <w:t>Dayanak</w:t>
            </w:r>
          </w:p>
        </w:tc>
        <w:tc>
          <w:tcPr>
            <w:tcW w:w="833" w:type="dxa"/>
            <w:tcBorders>
              <w:top w:val="single" w:sz="1" w:space="0" w:color="BFBFBF"/>
              <w:left w:val="single" w:sz="1" w:space="0" w:color="BFBFBF"/>
              <w:bottom w:val="single" w:sz="1" w:space="0" w:color="BFBFBF"/>
              <w:right w:val="single" w:sz="1" w:space="0" w:color="BFBFBF"/>
            </w:tcBorders>
            <w:shd w:val="clear" w:color="auto" w:fill="1F3864"/>
            <w:tcMar>
              <w:top w:w="60" w:type="dxa"/>
              <w:left w:w="100" w:type="dxa"/>
              <w:bottom w:w="60" w:type="dxa"/>
              <w:right w:w="100" w:type="dxa"/>
            </w:tcMar>
          </w:tcPr>
          <w:p w:rsidR="005C0D87" w:rsidRDefault="00914645">
            <w:pPr>
              <w:jc w:val="center"/>
            </w:pPr>
            <w:r>
              <w:rPr>
                <w:b/>
                <w:bCs/>
                <w:color w:val="FFFFFF"/>
                <w:sz w:val="18"/>
                <w:szCs w:val="18"/>
              </w:rPr>
              <w:t>Tür</w:t>
            </w:r>
          </w:p>
        </w:tc>
        <w:tc>
          <w:tcPr>
            <w:tcW w:w="750" w:type="dxa"/>
            <w:tcBorders>
              <w:top w:val="single" w:sz="1" w:space="0" w:color="BFBFBF"/>
              <w:left w:val="single" w:sz="1" w:space="0" w:color="BFBFBF"/>
              <w:bottom w:val="single" w:sz="1" w:space="0" w:color="BFBFBF"/>
              <w:right w:val="single" w:sz="1" w:space="0" w:color="BFBFBF"/>
            </w:tcBorders>
            <w:shd w:val="clear" w:color="auto" w:fill="1F3864"/>
            <w:tcMar>
              <w:top w:w="60" w:type="dxa"/>
              <w:left w:w="100" w:type="dxa"/>
              <w:bottom w:w="60" w:type="dxa"/>
              <w:right w:w="100" w:type="dxa"/>
            </w:tcMar>
          </w:tcPr>
          <w:p w:rsidR="005C0D87" w:rsidRDefault="00914645">
            <w:pPr>
              <w:jc w:val="center"/>
            </w:pPr>
            <w:r>
              <w:rPr>
                <w:b/>
                <w:bCs/>
                <w:color w:val="FFFFFF"/>
                <w:sz w:val="18"/>
                <w:szCs w:val="18"/>
              </w:rPr>
              <w:t>İlgili Taslak No</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GA-1</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Kapsamlı tek amatör telsizcilik yönetmeliği (“Part 97 TR”)</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Ulaştırma ve Altyapı Bak. / BTK</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5809 Md.37/3; 2813; CEPT T/R 61-01/61-02</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1</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GA-BAND-1</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Sınıf (A/B/C) × bant × güç resmi yetki tablosu</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BTK + KEGM</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FTM Tablo 25; KEGM Sınav Yön.; TAD 2021</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3</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GA-3</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CEPT T/R 61-01 ve 61-02'nin yönetmeliğe yansıtılması; B/C HAREC yolu</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Ulaştırma ve Altyapı Bak. / KEGM</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CEPT T/R 61-01; T/R 61-02</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1</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GA-4</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Amatör cihazların geçici yurt dışı çıkışı için standart prosedür</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Ticaret Bak. (Gümrükler GM)</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Gümrük Yön. Ek-71; CEPT T/R 61-01</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4</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GA-5 / GA-DIG</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TAD 2021 güncellemesi: dijital mod + SDR emisyon tipleri</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BTK</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ITU-RR Md.25 §25.2A; TAD 2021; FTM Tablo 25-1</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2</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GA-6</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Amatör anten kurulumu ve KMK Md.19 çatışmasını gideren düzenleme/genelge</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ÇŞİB / BTK-KEGM</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634 KMK Md.19; 5809 Md.37/3</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7</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GA-RX</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RX (dinleme) serbestisinin kodifikasyonu; satıcı RX kısıtlaması zorunlu değil</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BTK</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2813 Md.36; TCK Md.132-133; 5809 Md.37/3</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2</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9F6020" w:rsidRDefault="0020047E" w:rsidP="00105C83">
            <w:pPr>
              <w:jc w:val="center"/>
            </w:pPr>
            <w:r w:rsidRPr="00105C83">
              <w:rPr>
                <w:b/>
                <w:bCs/>
                <w:color w:val="000000"/>
                <w:sz w:val="18"/>
                <w:szCs w:val="18"/>
              </w:rPr>
              <w:t>GA-RX/Kanal</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9F6020" w:rsidRDefault="0020047E">
            <w:r w:rsidRPr="00DD4A20">
              <w:rPr>
                <w:color w:val="000000"/>
                <w:sz w:val="18"/>
                <w:szCs w:val="18"/>
              </w:rPr>
              <w:t>Kanal/tarama hafızasındaki frekans kaydının delil takdirinde teknik gerçeğe göre değerlendirilmesi; teknik açıklama</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9F6020" w:rsidRDefault="0020047E">
            <w:r>
              <w:t>BTK + Adalet Bak.</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9F6020" w:rsidRDefault="0020047E">
            <w:r w:rsidRPr="00DD4A20">
              <w:rPr>
                <w:color w:val="000000"/>
                <w:sz w:val="18"/>
                <w:szCs w:val="18"/>
              </w:rPr>
              <w:t>2813 Md.36; CMK Md.134; TCK Md.132-133</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9F6020" w:rsidRDefault="0020047E" w:rsidP="00DD4A20">
            <w:pPr>
              <w:jc w:val="center"/>
            </w:pPr>
            <w:r w:rsidRPr="00DD4A20">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9F6020" w:rsidRDefault="0020047E" w:rsidP="00DD4A20">
            <w:pPr>
              <w:jc w:val="center"/>
            </w:pPr>
            <w:r w:rsidRPr="00DD4A20">
              <w:rPr>
                <w:color w:val="000000"/>
                <w:sz w:val="18"/>
                <w:szCs w:val="18"/>
              </w:rPr>
              <w:t>12</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GA-NODE</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 xml:space="preserve">İnternet-RF köprüsünün </w:t>
            </w:r>
            <w:r>
              <w:rPr>
                <w:color w:val="000000"/>
                <w:sz w:val="18"/>
                <w:szCs w:val="18"/>
              </w:rPr>
              <w:lastRenderedPageBreak/>
              <w:t>(EchoLink/WebSDR) 6112'de yayın sayılmadığı ortak görüş</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lastRenderedPageBreak/>
              <w:t>BTK + RTÜK</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6112 Md.2; 5809</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6</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lastRenderedPageBreak/>
              <w:t>GA-CROSS</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Acil/EMCOMM cross-band ve bireysel röle erişimi</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BTK + KEGM</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KEGM Sınav Yön. Md.4/1e; ITU-RR Md.25</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3</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GA-POC</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“Amatör telsiz” ibaresinin RF sistemlerine özgülenmesi; yanıltıcı pazarlama</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Ticaret Bak. (Reklam Kurulu)/BTK</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ITU-RR Md.1 §1.56; 6502 TKHK</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5</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GA-ENFORC</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Röle erişim hakkı ve etik işletim için tavsiye kararı/genelge</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BTK + KEGM</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ITU-RR Md.15</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3</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GA-BAND-2</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70,0-70,5 MHz (4m) ikincil amatör tahsisi</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BTK</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BTK MFP; ECA/ERC Rep.25 (EU9)</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2</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GA-BAND-3</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Mikrodalga (2,4/3,4/5,7/10/24 GHz) TAD teknik şartları</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BTK</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MFP; TAD 2021 TAD08-01-06; IARU R1 SHF</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2</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GA-ARAC</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Mobil amatör istasyon anten montajı ve trafik (73/c) kılavuzu</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BTK</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FTM Tablo 25; 2918 KTK Md.29, 73/c</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2</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GA-POTA</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POTA arazi izinleri için “hangi kurum” tablosu/tebliğ</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Tarım ve Orman Bak. / ÇŞİB / BTK</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2873; 6831 Md.17; 5393; 3621</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8</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GA-AREDN</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2,4/5,8 GHz amatör TAD parametreleri; “kendi imalı cihaz” tanımı</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BTK + KEGM</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MFP; TAD08-01-06; IARU R1 SHF</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3</w:t>
            </w:r>
          </w:p>
        </w:tc>
      </w:tr>
      <w:tr w:rsidR="005C0D87"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b/>
                <w:bCs/>
                <w:color w:val="000000"/>
                <w:sz w:val="18"/>
                <w:szCs w:val="18"/>
              </w:rPr>
              <w:t>GA-LORA</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433 MHz SRD-amatör sınırı; 915 MHz ithal cihaz tüketici uyarısı</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BTK</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r>
              <w:rPr>
                <w:color w:val="000000"/>
                <w:sz w:val="18"/>
                <w:szCs w:val="18"/>
              </w:rPr>
              <w:t>FTM 2022 Taslak; MFP 900-960 (hücresel)</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C</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C0D87" w:rsidRDefault="00914645">
            <w:pPr>
              <w:jc w:val="center"/>
            </w:pPr>
            <w:r>
              <w:rPr>
                <w:color w:val="000000"/>
                <w:sz w:val="18"/>
                <w:szCs w:val="18"/>
              </w:rPr>
              <w:t>2</w:t>
            </w:r>
          </w:p>
        </w:tc>
      </w:tr>
      <w:tr w:rsidR="0051352E"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jc w:val="center"/>
              <w:rPr>
                <w:b/>
                <w:bCs/>
                <w:color w:val="000000"/>
                <w:sz w:val="18"/>
                <w:szCs w:val="18"/>
              </w:rPr>
            </w:pPr>
            <w:r w:rsidRPr="0051352E">
              <w:rPr>
                <w:b/>
                <w:bCs/>
                <w:color w:val="000000"/>
                <w:sz w:val="18"/>
                <w:szCs w:val="18"/>
              </w:rPr>
              <w:t>GA-SK</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rPr>
                <w:color w:val="000000"/>
                <w:sz w:val="18"/>
                <w:szCs w:val="18"/>
              </w:rPr>
            </w:pPr>
            <w:r w:rsidRPr="0051352E">
              <w:rPr>
                <w:color w:val="000000"/>
                <w:sz w:val="18"/>
                <w:szCs w:val="18"/>
              </w:rPr>
              <w:t>Silent Key / çağrı işareti yaşam döngüsü ve vesayet (in-memoriam)</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rPr>
                <w:color w:val="000000"/>
                <w:sz w:val="18"/>
                <w:szCs w:val="18"/>
              </w:rPr>
            </w:pPr>
            <w:r w:rsidRPr="0051352E">
              <w:rPr>
                <w:color w:val="000000"/>
                <w:sz w:val="18"/>
                <w:szCs w:val="18"/>
              </w:rPr>
              <w:t>KEGM</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rPr>
                <w:color w:val="000000"/>
                <w:sz w:val="18"/>
                <w:szCs w:val="18"/>
              </w:rPr>
            </w:pPr>
            <w:r w:rsidRPr="0051352E">
              <w:rPr>
                <w:color w:val="000000"/>
                <w:sz w:val="18"/>
                <w:szCs w:val="18"/>
              </w:rPr>
              <w:t>KEGM Sınav Yön. (RG 27482); 10 yıl pasif</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2733D9">
            <w:pPr>
              <w:jc w:val="center"/>
              <w:rPr>
                <w:color w:val="000000"/>
                <w:sz w:val="18"/>
                <w:szCs w:val="18"/>
              </w:rPr>
            </w:pPr>
            <w:r w:rsidRPr="0051352E">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2733D9">
            <w:pPr>
              <w:jc w:val="center"/>
              <w:rPr>
                <w:color w:val="000000"/>
                <w:sz w:val="18"/>
                <w:szCs w:val="18"/>
              </w:rPr>
            </w:pPr>
            <w:r w:rsidRPr="0051352E">
              <w:rPr>
                <w:color w:val="000000"/>
                <w:sz w:val="18"/>
                <w:szCs w:val="18"/>
              </w:rPr>
              <w:t>9</w:t>
            </w:r>
          </w:p>
        </w:tc>
      </w:tr>
      <w:tr w:rsidR="0051352E"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jc w:val="center"/>
              <w:rPr>
                <w:b/>
                <w:bCs/>
                <w:color w:val="000000"/>
                <w:sz w:val="18"/>
                <w:szCs w:val="18"/>
              </w:rPr>
            </w:pPr>
            <w:r w:rsidRPr="0051352E">
              <w:rPr>
                <w:b/>
                <w:bCs/>
                <w:color w:val="000000"/>
                <w:sz w:val="18"/>
                <w:szCs w:val="18"/>
              </w:rPr>
              <w:t>GA-CALL</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rPr>
                <w:color w:val="000000"/>
                <w:sz w:val="18"/>
                <w:szCs w:val="18"/>
              </w:rPr>
            </w:pPr>
            <w:r w:rsidRPr="0051352E">
              <w:rPr>
                <w:color w:val="000000"/>
                <w:sz w:val="18"/>
                <w:szCs w:val="18"/>
              </w:rPr>
              <w:t>Bölge değişiminde çağrı işareti; ülke geneli taşınabilirlik</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rPr>
                <w:color w:val="000000"/>
                <w:sz w:val="18"/>
                <w:szCs w:val="18"/>
              </w:rPr>
            </w:pPr>
            <w:r w:rsidRPr="0051352E">
              <w:rPr>
                <w:color w:val="000000"/>
                <w:sz w:val="18"/>
                <w:szCs w:val="18"/>
              </w:rPr>
              <w:t>KEGM</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rPr>
                <w:color w:val="000000"/>
                <w:sz w:val="18"/>
                <w:szCs w:val="18"/>
              </w:rPr>
            </w:pPr>
            <w:r w:rsidRPr="0051352E">
              <w:rPr>
                <w:color w:val="000000"/>
                <w:sz w:val="18"/>
                <w:szCs w:val="18"/>
              </w:rPr>
              <w:t>KEGM Sınav Yön. (RG 27482)</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2733D9">
            <w:pPr>
              <w:jc w:val="center"/>
              <w:rPr>
                <w:color w:val="000000"/>
                <w:sz w:val="18"/>
                <w:szCs w:val="18"/>
              </w:rPr>
            </w:pPr>
            <w:r w:rsidRPr="0051352E">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2733D9">
            <w:pPr>
              <w:jc w:val="center"/>
              <w:rPr>
                <w:color w:val="000000"/>
                <w:sz w:val="18"/>
                <w:szCs w:val="18"/>
              </w:rPr>
            </w:pPr>
            <w:r w:rsidRPr="0051352E">
              <w:rPr>
                <w:color w:val="000000"/>
                <w:sz w:val="18"/>
                <w:szCs w:val="18"/>
              </w:rPr>
              <w:t>9</w:t>
            </w:r>
          </w:p>
        </w:tc>
      </w:tr>
      <w:tr w:rsidR="0051352E"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jc w:val="center"/>
              <w:rPr>
                <w:b/>
                <w:bCs/>
                <w:color w:val="000000"/>
                <w:sz w:val="18"/>
                <w:szCs w:val="18"/>
              </w:rPr>
            </w:pPr>
            <w:r w:rsidRPr="0051352E">
              <w:rPr>
                <w:b/>
                <w:bCs/>
                <w:color w:val="000000"/>
                <w:sz w:val="18"/>
                <w:szCs w:val="18"/>
              </w:rPr>
              <w:t>GA-CIHAZ</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rPr>
                <w:color w:val="000000"/>
                <w:sz w:val="18"/>
                <w:szCs w:val="18"/>
              </w:rPr>
            </w:pPr>
            <w:r w:rsidRPr="0051352E">
              <w:rPr>
                <w:color w:val="000000"/>
                <w:sz w:val="18"/>
                <w:szCs w:val="18"/>
              </w:rPr>
              <w:t>Piyasa gözetimi; satışta belge kontrolü; cihaz devri kaydı; SDR/dual-use rehberi</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rPr>
                <w:color w:val="000000"/>
                <w:sz w:val="18"/>
                <w:szCs w:val="18"/>
              </w:rPr>
            </w:pPr>
            <w:r w:rsidRPr="0051352E">
              <w:rPr>
                <w:color w:val="000000"/>
                <w:sz w:val="18"/>
                <w:szCs w:val="18"/>
              </w:rPr>
              <w:t>BTK + Ticaret Bak.</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rPr>
                <w:color w:val="000000"/>
                <w:sz w:val="18"/>
                <w:szCs w:val="18"/>
              </w:rPr>
            </w:pPr>
            <w:r w:rsidRPr="0051352E">
              <w:rPr>
                <w:color w:val="000000"/>
                <w:sz w:val="18"/>
                <w:szCs w:val="18"/>
              </w:rPr>
              <w:t>TTTE Yön. (RED 2014/53/AB); BTK 2019 güvensiz cihaz kararı</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2733D9">
            <w:pPr>
              <w:jc w:val="center"/>
              <w:rPr>
                <w:color w:val="000000"/>
                <w:sz w:val="18"/>
                <w:szCs w:val="18"/>
              </w:rPr>
            </w:pPr>
            <w:r w:rsidRPr="0051352E">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2733D9">
            <w:pPr>
              <w:jc w:val="center"/>
              <w:rPr>
                <w:color w:val="000000"/>
                <w:sz w:val="18"/>
                <w:szCs w:val="18"/>
              </w:rPr>
            </w:pPr>
            <w:r w:rsidRPr="0051352E">
              <w:rPr>
                <w:color w:val="000000"/>
                <w:sz w:val="18"/>
                <w:szCs w:val="18"/>
              </w:rPr>
              <w:t>11</w:t>
            </w:r>
          </w:p>
        </w:tc>
      </w:tr>
      <w:tr w:rsidR="0051352E" w:rsidTr="0051352E">
        <w:tc>
          <w:tcPr>
            <w:tcW w:w="99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jc w:val="center"/>
              <w:rPr>
                <w:b/>
                <w:bCs/>
                <w:color w:val="000000"/>
                <w:sz w:val="18"/>
                <w:szCs w:val="18"/>
              </w:rPr>
            </w:pPr>
            <w:r w:rsidRPr="0051352E">
              <w:rPr>
                <w:b/>
                <w:bCs/>
                <w:color w:val="000000"/>
                <w:sz w:val="18"/>
                <w:szCs w:val="18"/>
              </w:rPr>
              <w:t>GA-EMCOMM</w:t>
            </w:r>
          </w:p>
        </w:tc>
        <w:tc>
          <w:tcPr>
            <w:tcW w:w="2909"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rPr>
                <w:color w:val="000000"/>
                <w:sz w:val="18"/>
                <w:szCs w:val="18"/>
              </w:rPr>
            </w:pPr>
            <w:r w:rsidRPr="0051352E">
              <w:rPr>
                <w:color w:val="000000"/>
                <w:sz w:val="18"/>
                <w:szCs w:val="18"/>
              </w:rPr>
              <w:t>Ulusal amatör afet haberleşme protokolü (MOU) ve tatbikat usulü</w:t>
            </w:r>
          </w:p>
        </w:tc>
        <w:tc>
          <w:tcPr>
            <w:tcW w:w="1662"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rPr>
                <w:color w:val="000000"/>
                <w:sz w:val="18"/>
                <w:szCs w:val="18"/>
              </w:rPr>
            </w:pPr>
            <w:r w:rsidRPr="0051352E">
              <w:rPr>
                <w:color w:val="000000"/>
                <w:sz w:val="18"/>
                <w:szCs w:val="18"/>
              </w:rPr>
              <w:t>AFAD + KEGM/BTK</w:t>
            </w:r>
          </w:p>
        </w:tc>
        <w:tc>
          <w:tcPr>
            <w:tcW w:w="187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CC1EA6">
            <w:pPr>
              <w:rPr>
                <w:color w:val="000000"/>
                <w:sz w:val="18"/>
                <w:szCs w:val="18"/>
              </w:rPr>
            </w:pPr>
            <w:r w:rsidRPr="0051352E">
              <w:rPr>
                <w:color w:val="000000"/>
                <w:sz w:val="18"/>
                <w:szCs w:val="18"/>
              </w:rPr>
              <w:t>KEGM Sınav Yön. Md.4/1e; IARU ETG</w:t>
            </w:r>
          </w:p>
        </w:tc>
        <w:tc>
          <w:tcPr>
            <w:tcW w:w="833"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2733D9">
            <w:pPr>
              <w:jc w:val="center"/>
              <w:rPr>
                <w:color w:val="000000"/>
                <w:sz w:val="18"/>
                <w:szCs w:val="18"/>
              </w:rPr>
            </w:pPr>
            <w:r w:rsidRPr="0051352E">
              <w:rPr>
                <w:color w:val="000000"/>
                <w:sz w:val="18"/>
                <w:szCs w:val="18"/>
              </w:rPr>
              <w:t>C+D</w:t>
            </w:r>
          </w:p>
        </w:tc>
        <w:tc>
          <w:tcPr>
            <w:tcW w:w="750" w:type="dxa"/>
            <w:tcBorders>
              <w:top w:val="single" w:sz="1" w:space="0" w:color="BFBFBF"/>
              <w:left w:val="single" w:sz="1" w:space="0" w:color="BFBFBF"/>
              <w:bottom w:val="single" w:sz="1" w:space="0" w:color="BFBFBF"/>
              <w:right w:val="single" w:sz="1" w:space="0" w:color="BFBFBF"/>
            </w:tcBorders>
            <w:tcMar>
              <w:top w:w="60" w:type="dxa"/>
              <w:left w:w="100" w:type="dxa"/>
              <w:bottom w:w="60" w:type="dxa"/>
              <w:right w:w="100" w:type="dxa"/>
            </w:tcMar>
          </w:tcPr>
          <w:p w:rsidR="0051352E" w:rsidRPr="0051352E" w:rsidRDefault="0051352E" w:rsidP="002733D9">
            <w:pPr>
              <w:jc w:val="center"/>
              <w:rPr>
                <w:color w:val="000000"/>
                <w:sz w:val="18"/>
                <w:szCs w:val="18"/>
              </w:rPr>
            </w:pPr>
            <w:r w:rsidRPr="0051352E">
              <w:rPr>
                <w:color w:val="000000"/>
                <w:sz w:val="18"/>
                <w:szCs w:val="18"/>
              </w:rPr>
              <w:t>10</w:t>
            </w:r>
          </w:p>
        </w:tc>
      </w:tr>
    </w:tbl>
    <w:p w:rsidR="005C0D87" w:rsidRDefault="00914645">
      <w:pPr>
        <w:spacing w:before="60"/>
      </w:pPr>
      <w:r>
        <w:rPr>
          <w:i/>
          <w:iCs/>
          <w:color w:val="888888"/>
          <w:sz w:val="16"/>
          <w:szCs w:val="16"/>
        </w:rPr>
        <w:t>C = yazılı görüş/açıklama talebi · D = mevzuat/prosedür değişikliği talebi</w:t>
      </w:r>
    </w:p>
    <w:p w:rsidR="005C0D87" w:rsidRDefault="00914645">
      <w:r>
        <w:br w:type="page"/>
      </w:r>
    </w:p>
    <w:p w:rsidR="005C0D87" w:rsidRDefault="00914645">
      <w:pPr>
        <w:pStyle w:val="Heading10"/>
      </w:pPr>
      <w:r>
        <w:lastRenderedPageBreak/>
        <w:t>3. Kuruma Göre Örnek Başvuru Taslakları</w:t>
      </w:r>
    </w:p>
    <w:p w:rsidR="005C0D87" w:rsidRDefault="00914645">
      <w:pPr>
        <w:pStyle w:val="Heading20"/>
      </w:pPr>
      <w:r>
        <w:t>Taslak 1 — T.C. Ulaştırma ve Altyapı Bakanlığı — Haberleşme Genel Müdürlüğü</w:t>
      </w:r>
    </w:p>
    <w:p w:rsidR="005C0D87" w:rsidRDefault="00914645">
      <w:pPr>
        <w:spacing w:after="120"/>
      </w:pPr>
      <w:r>
        <w:rPr>
          <w:b/>
          <w:bCs/>
        </w:rPr>
        <w:t>T.C. Ulaştırma ve Altyapı Bakanlığı — Haberleşme Genel Müdürlüğü</w:t>
      </w:r>
    </w:p>
    <w:p w:rsidR="005C0D87" w:rsidRDefault="00914645">
      <w:pPr>
        <w:spacing w:after="60"/>
      </w:pPr>
      <w:r>
        <w:rPr>
          <w:b/>
          <w:bCs/>
          <w:color w:val="1F3864"/>
        </w:rPr>
        <w:t xml:space="preserve">Konu: </w:t>
      </w:r>
      <w:r>
        <w:t>Amatör telsizcilikte kapsamlı ulusal düzenleme ve CEPT tavsiyelerinin yansıtılması</w:t>
      </w:r>
    </w:p>
    <w:p w:rsidR="005C0D87" w:rsidRDefault="00914645">
      <w:pPr>
        <w:spacing w:after="60"/>
      </w:pPr>
      <w:r>
        <w:rPr>
          <w:b/>
          <w:bCs/>
          <w:color w:val="1F3864"/>
        </w:rPr>
        <w:t xml:space="preserve">İlgili gri alan(lar): </w:t>
      </w:r>
      <w:r>
        <w:t>GA-1, GA-3</w:t>
      </w:r>
    </w:p>
    <w:p w:rsidR="005C0D87" w:rsidRDefault="00914645">
      <w:pPr>
        <w:spacing w:before="80" w:after="100"/>
      </w:pPr>
      <w:r>
        <w:t>Sayın Yetkili,</w:t>
      </w:r>
    </w:p>
    <w:p w:rsidR="005C0D87" w:rsidRDefault="00914645">
      <w:pPr>
        <w:spacing w:after="120"/>
        <w:jc w:val="both"/>
      </w:pPr>
      <w:r>
        <w:t>2004 yılında yürürlükten kaldırılan Amatör Telsizcilik Yönetmeliği'nin yerine kapsamlı, tek parça bir düzenleme çıkarılmamıştır. Amatörlerin hak ve yükümlülükleri; Anayasa Md.22, 5809 sayılı Kanun Md.37/3, Spektrum Yönetimi Yönetmeliği Md.7-8, Telsiz Yönetmeliği Md.2/4, FTM Yönetmeliği ve Tablo 25 ile KEGM Sınav Yönetmeliği Md.4/1e gibi yedi ayrı mevzuattan derlenmek zorundadır. Bu dağınıklık, saha uygulamasında belirsizlik ve uyuşmazlık doğurmaktadır.</w:t>
      </w:r>
    </w:p>
    <w:p w:rsidR="005C0D87" w:rsidRDefault="00914645">
      <w:pPr>
        <w:spacing w:after="120"/>
        <w:jc w:val="both"/>
      </w:pPr>
      <w:r>
        <w:t>Türkiye CEPT üyesidir ve CEPT T/R 61-01 (CEPT Amatör Telsiz Lisansı — kısa süreli ziyarette karşılıklı tanıma) ile T/R 61-02 (HAREC) tavsiyelerine taraftır. KEGM, A sınıfı belge sahiplerine dört dilde “HAREC DOCUMENT” düzenlemektedir. Ancak B ve C sınıfı belge sahipleri HAREC muadili taşımadığından T/R 61-01 kapsamında yurt dışı operasyon hakkına sahip değildir; ayrıca yabancı CEPT amatörlerinin Türkiye'de geçici çalışma usulü mevzuatta net biçimde tanımlanmamıştır.</w:t>
      </w:r>
    </w:p>
    <w:p w:rsidR="005C0D87" w:rsidRDefault="00914645">
      <w:pPr>
        <w:spacing w:before="40" w:after="80"/>
      </w:pPr>
      <w:r>
        <w:rPr>
          <w:b/>
          <w:bCs/>
          <w:color w:val="1F3864"/>
        </w:rPr>
        <w:t>Bu çerçevede Kurumunuzdan talebimiz:</w:t>
      </w:r>
    </w:p>
    <w:p w:rsidR="005C0D87" w:rsidRDefault="00914645">
      <w:pPr>
        <w:pStyle w:val="ListeParagraf"/>
        <w:numPr>
          <w:ilvl w:val="0"/>
          <w:numId w:val="2"/>
        </w:numPr>
        <w:spacing w:after="60"/>
        <w:jc w:val="both"/>
      </w:pPr>
      <w:r>
        <w:t>Amatör telsizciliğe özgü, güncel ve tek parça bir yönetmeliğin (bütüncül bir çerçeve) hazırlanması.</w:t>
      </w:r>
    </w:p>
    <w:p w:rsidR="005C0D87" w:rsidRDefault="00914645">
      <w:pPr>
        <w:pStyle w:val="ListeParagraf"/>
        <w:numPr>
          <w:ilvl w:val="0"/>
          <w:numId w:val="2"/>
        </w:numPr>
        <w:spacing w:after="60"/>
        <w:jc w:val="both"/>
      </w:pPr>
      <w:r>
        <w:t>CEPT T/R 61-01 ve T/R 61-02 tavsiyelerinin ulusal mevzuata açıkça yansıtılması; KEGM belgelerinin HAREC muadili olarak resmen tescili.</w:t>
      </w:r>
    </w:p>
    <w:p w:rsidR="005C0D87" w:rsidRDefault="00914645">
      <w:pPr>
        <w:pStyle w:val="ListeParagraf"/>
        <w:numPr>
          <w:ilvl w:val="0"/>
          <w:numId w:val="2"/>
        </w:numPr>
        <w:spacing w:after="60"/>
        <w:jc w:val="both"/>
      </w:pPr>
      <w:r>
        <w:t>B ve C sınıfı belge sahipleri için HAREC eşdeğerliği veya kademeli sınav yolunun tanımlanması.</w:t>
      </w:r>
    </w:p>
    <w:p w:rsidR="005C0D87" w:rsidRDefault="00914645">
      <w:pPr>
        <w:pStyle w:val="ListeParagraf"/>
        <w:numPr>
          <w:ilvl w:val="0"/>
          <w:numId w:val="2"/>
        </w:numPr>
        <w:spacing w:after="60"/>
        <w:jc w:val="both"/>
      </w:pPr>
      <w:r>
        <w:t>Yabancı CEPT amatörlerinin Türkiye'de T/R 61-01 kapsamında geçici çalışma usulünün (KEGM'e bildirim esası) düzenlenmesi.</w:t>
      </w:r>
    </w:p>
    <w:p w:rsidR="005C0D87" w:rsidRDefault="00914645">
      <w:pPr>
        <w:spacing w:before="100" w:after="60"/>
        <w:jc w:val="both"/>
      </w:pPr>
      <w:r>
        <w:t>Gereğinin değerlendirilmesini bilgilerinize saygıyla arz ederiz.</w:t>
      </w:r>
    </w:p>
    <w:p w:rsidR="005C0D87" w:rsidRDefault="00914645">
      <w:pPr>
        <w:spacing w:before="160" w:after="20"/>
      </w:pPr>
      <w:r>
        <w:rPr>
          <w:i/>
          <w:iCs/>
        </w:rPr>
        <w:t>Saygılarımızla,</w:t>
      </w:r>
    </w:p>
    <w:p w:rsidR="005C0D87" w:rsidRDefault="00914645">
      <w:pPr>
        <w:spacing w:after="20"/>
      </w:pPr>
      <w:r>
        <w:rPr>
          <w:b/>
          <w:bCs/>
          <w:color w:val="1F3864"/>
        </w:rPr>
        <w:t>[Kulüp / Şube adı] — [Dernek / Kulüp adı] adına</w:t>
      </w:r>
    </w:p>
    <w:p w:rsidR="005C0D87" w:rsidRDefault="00914645">
      <w:pPr>
        <w:spacing w:after="10"/>
      </w:pPr>
      <w:r>
        <w:t>Ad-Soyad: __________________________     Çağrı İşareti: ______________</w:t>
      </w:r>
    </w:p>
    <w:p w:rsidR="005C0D87" w:rsidRDefault="00914645">
      <w:pPr>
        <w:spacing w:after="10"/>
      </w:pPr>
      <w:r>
        <w:t>Ünvan: ____________________     Tarih: ____________     İmza: ____________</w:t>
      </w:r>
    </w:p>
    <w:p w:rsidR="005C0D87" w:rsidRDefault="00914645">
      <w:r>
        <w:br w:type="page"/>
      </w:r>
    </w:p>
    <w:p w:rsidR="005C0D87" w:rsidRDefault="00914645">
      <w:pPr>
        <w:pStyle w:val="Heading20"/>
      </w:pPr>
      <w:r>
        <w:lastRenderedPageBreak/>
        <w:t>Taslak 2 — T.C. Bilgi Teknolojileri ve İletişim Kurumu (BTK)</w:t>
      </w:r>
    </w:p>
    <w:p w:rsidR="005C0D87" w:rsidRDefault="00914645">
      <w:pPr>
        <w:spacing w:after="120"/>
      </w:pPr>
      <w:r>
        <w:rPr>
          <w:b/>
          <w:bCs/>
        </w:rPr>
        <w:t>T.C. Bilgi Teknolojileri ve İletişim Kurumu (BTK)</w:t>
      </w:r>
    </w:p>
    <w:p w:rsidR="005C0D87" w:rsidRDefault="00914645">
      <w:pPr>
        <w:spacing w:after="60"/>
      </w:pPr>
      <w:r>
        <w:rPr>
          <w:b/>
          <w:bCs/>
          <w:color w:val="1F3864"/>
        </w:rPr>
        <w:t xml:space="preserve">Konu: </w:t>
      </w:r>
      <w:r>
        <w:t>TAD 2021, FTM teknik ölçütler ve Milli Frekans Planı güncelleme talepleri</w:t>
      </w:r>
    </w:p>
    <w:p w:rsidR="005C0D87" w:rsidRDefault="00914645">
      <w:pPr>
        <w:spacing w:after="60"/>
      </w:pPr>
      <w:r>
        <w:rPr>
          <w:b/>
          <w:bCs/>
          <w:color w:val="1F3864"/>
        </w:rPr>
        <w:t xml:space="preserve">İlgili gri alan(lar): </w:t>
      </w:r>
      <w:r>
        <w:t>GA-5/GA-DIG, GA-RX, GA-BAND-2, GA-BAND-3, GA-ARAC, GA-LORA</w:t>
      </w:r>
    </w:p>
    <w:p w:rsidR="005C0D87" w:rsidRDefault="00914645">
      <w:pPr>
        <w:spacing w:before="80" w:after="100"/>
      </w:pPr>
      <w:r>
        <w:t>Sayın Yetkili,</w:t>
      </w:r>
    </w:p>
    <w:p w:rsidR="005C0D87" w:rsidRDefault="00914645">
      <w:pPr>
        <w:spacing w:after="120"/>
        <w:jc w:val="both"/>
      </w:pPr>
      <w:r>
        <w:t>TAD 2021 ve FTM Teknik Ölçütler (Tablo 25-1) yalnızca geleneksel emisyon tiplerini (A1A, J3E, F3E) listelemektedir. FT8, FT4, JS8Call, WSPR, Winlink/VARA, APRS, D-STAR, DMR, C4FM ve DATV gibi kamuya açık ve belgeli dijital modlar ile SDR sistemleri tanımlı değildir. Bu modlar, ITU-RR Md.25 §25.2A'daki “anlam gizleme amacı” testini karşılamadığından şifreleme yasağı kapsamında değildir; ancak listelenmemeleri kullanımda gri alan yaratmaktadır.</w:t>
      </w:r>
    </w:p>
    <w:p w:rsidR="005C0D87" w:rsidRDefault="00914645">
      <w:pPr>
        <w:spacing w:after="120"/>
        <w:jc w:val="both"/>
      </w:pPr>
      <w:r>
        <w:t>Milli Frekans Planı bazı bantları ikincil amatör tahsisli gösterse de TAD teknik şartları eksiktir: 70,0-70,5 MHz (4m) hiç tahsisli değildir; 2,4/3,4/5,7/10/24 GHz mikrodalga bantlarında teknik parametre yoktur. Ayrıca salt dinleme (RX) serbestisi kodifiye edilmemiş, yetkili satıcılar dayanaksız RX kısıtlaması uygulamaktadır. LoRa/Meshtastic cihazlarında 433/868 MHz SRD ile amatör bant sınırı belirsizdir; 915 MHz ise Türkiye'de 900-960 MHz hücresel spektruma denk geldiğinden yasa dışı olmasına rağmen ithal cihazlarla piyasadadır.</w:t>
      </w:r>
    </w:p>
    <w:p w:rsidR="005C0D87" w:rsidRDefault="00914645">
      <w:pPr>
        <w:spacing w:before="40" w:after="80"/>
      </w:pPr>
      <w:r>
        <w:rPr>
          <w:b/>
          <w:bCs/>
          <w:color w:val="1F3864"/>
        </w:rPr>
        <w:t>Bu çerçevede Kurumunuzdan talebimiz:</w:t>
      </w:r>
    </w:p>
    <w:p w:rsidR="005C0D87" w:rsidRDefault="00914645">
      <w:pPr>
        <w:pStyle w:val="ListeParagraf"/>
        <w:numPr>
          <w:ilvl w:val="0"/>
          <w:numId w:val="3"/>
        </w:numPr>
        <w:spacing w:after="60"/>
        <w:jc w:val="both"/>
      </w:pPr>
      <w:r>
        <w:t>TAD 2021'in güncellenerek FT8, FT4, JS8Call, WSPR, Winlink/VARA, APRS, D-STAR, DMR, C4FM ve DATV emisyon tiplerinin ve SDR sistemlerinin kapsama alınması; “anlam gizleme amacı” testinin ulusal düzenlemede açıklanması.</w:t>
      </w:r>
    </w:p>
    <w:p w:rsidR="005C0D87" w:rsidRDefault="00914645">
      <w:pPr>
        <w:pStyle w:val="ListeParagraf"/>
        <w:numPr>
          <w:ilvl w:val="0"/>
          <w:numId w:val="3"/>
        </w:numPr>
        <w:spacing w:after="60"/>
        <w:jc w:val="both"/>
      </w:pPr>
      <w:r>
        <w:t>“RX (dinleme) eylemi serbesttir; suçu ifşa ve hukuka aykırı kullanım oluşturur” ilkesinin 5809 EHK veya alt düzenlemede kodifiye edilmesi; yetkili satıcıların RX kısıtlama zorunluluğu bulunmadığının rehberle açıklanması.</w:t>
      </w:r>
    </w:p>
    <w:p w:rsidR="005C0D87" w:rsidRDefault="00914645">
      <w:pPr>
        <w:pStyle w:val="ListeParagraf"/>
        <w:numPr>
          <w:ilvl w:val="0"/>
          <w:numId w:val="3"/>
        </w:numPr>
        <w:spacing w:after="60"/>
        <w:jc w:val="both"/>
      </w:pPr>
      <w:r>
        <w:t>70,0-70,5 MHz bandının MFP'ye ikincil amatör tahsis olarak eklenmesi (ECA Tablosu / ERC Report 25 dipnotu EU9 referansıyla) ve TAD'e işlenmesi.</w:t>
      </w:r>
    </w:p>
    <w:p w:rsidR="005C0D87" w:rsidRDefault="00914645">
      <w:pPr>
        <w:pStyle w:val="ListeParagraf"/>
        <w:numPr>
          <w:ilvl w:val="0"/>
          <w:numId w:val="3"/>
        </w:numPr>
        <w:spacing w:after="60"/>
        <w:jc w:val="both"/>
      </w:pPr>
      <w:r>
        <w:t>MFP'de ikincil amatör tahsisli mikrodalga bantları için TAD 2021'e teknik şart eki (azami ERP, emisyon tipi, bant segmenti) eklenmesi ve FTM Tablo 25'in güncellenmesi.</w:t>
      </w:r>
    </w:p>
    <w:p w:rsidR="005C0D87" w:rsidRDefault="00914645">
      <w:pPr>
        <w:pStyle w:val="ListeParagraf"/>
        <w:numPr>
          <w:ilvl w:val="0"/>
          <w:numId w:val="3"/>
        </w:numPr>
        <w:spacing w:after="60"/>
        <w:jc w:val="both"/>
      </w:pPr>
      <w:r>
        <w:t>Mobil amatör istasyon anten montajı ve sürüş sırasında el cihazı kullanımı (2918 KTK Md.73/c hands-free) konusunda açıklayıcı kılavuz yayımlanması.</w:t>
      </w:r>
    </w:p>
    <w:p w:rsidR="005C0D87" w:rsidRDefault="00914645">
      <w:pPr>
        <w:pStyle w:val="ListeParagraf"/>
        <w:numPr>
          <w:ilvl w:val="0"/>
          <w:numId w:val="3"/>
        </w:numPr>
        <w:spacing w:after="60"/>
        <w:jc w:val="both"/>
      </w:pPr>
      <w:r>
        <w:t>433 MHz SRD ile amatör bant kullanımı arasındaki sınırın netleştirilmesi; 915 MHz ithal LoRa/Meshtastic cihazları için tüketici uyarısı; LoRa-APRS TX'in amatör/SRD statüsünün açıklanması.</w:t>
      </w:r>
    </w:p>
    <w:p w:rsidR="005C0D87" w:rsidRDefault="00914645">
      <w:pPr>
        <w:spacing w:before="100" w:after="60"/>
        <w:jc w:val="both"/>
      </w:pPr>
      <w:r>
        <w:t>Gereğinin değerlendirilmesini bilgilerinize saygıyla arz ederiz.</w:t>
      </w:r>
    </w:p>
    <w:p w:rsidR="005C0D87" w:rsidRDefault="00914645">
      <w:pPr>
        <w:spacing w:before="160" w:after="20"/>
      </w:pPr>
      <w:r>
        <w:rPr>
          <w:i/>
          <w:iCs/>
        </w:rPr>
        <w:t>Saygılarımızla,</w:t>
      </w:r>
    </w:p>
    <w:p w:rsidR="005C0D87" w:rsidRDefault="00914645">
      <w:pPr>
        <w:spacing w:after="20"/>
      </w:pPr>
      <w:r>
        <w:rPr>
          <w:b/>
          <w:bCs/>
          <w:color w:val="1F3864"/>
        </w:rPr>
        <w:t>[Kulüp / Şube adı] — [Dernek / Kulüp adı] adına</w:t>
      </w:r>
    </w:p>
    <w:p w:rsidR="005C0D87" w:rsidRDefault="00914645">
      <w:pPr>
        <w:spacing w:after="10"/>
      </w:pPr>
      <w:r>
        <w:t>Ad-Soyad: __________________________     Çağrı İşareti: ______________</w:t>
      </w:r>
    </w:p>
    <w:p w:rsidR="005C0D87" w:rsidRDefault="00914645">
      <w:pPr>
        <w:spacing w:after="10"/>
      </w:pPr>
      <w:r>
        <w:t>Ünvan: ____________________     Tarih: ____________     İmza: ____________</w:t>
      </w:r>
    </w:p>
    <w:p w:rsidR="005C0D87" w:rsidRDefault="00914645">
      <w:r>
        <w:br w:type="page"/>
      </w:r>
    </w:p>
    <w:p w:rsidR="005C0D87" w:rsidRDefault="00914645">
      <w:pPr>
        <w:pStyle w:val="Heading20"/>
      </w:pPr>
      <w:r>
        <w:lastRenderedPageBreak/>
        <w:t>Taslak 3 — BTK ve Kıyı Emniyeti Genel Müdürlüğü (KEGM)</w:t>
      </w:r>
    </w:p>
    <w:p w:rsidR="005C0D87" w:rsidRDefault="00914645">
      <w:pPr>
        <w:spacing w:after="120"/>
      </w:pPr>
      <w:r>
        <w:rPr>
          <w:b/>
          <w:bCs/>
        </w:rPr>
        <w:t>BTK ve Kıyı Emniyeti Genel Müdürlüğü (KEGM)</w:t>
      </w:r>
    </w:p>
    <w:p w:rsidR="005C0D87" w:rsidRDefault="00914645">
      <w:pPr>
        <w:spacing w:after="60"/>
      </w:pPr>
      <w:r>
        <w:rPr>
          <w:b/>
          <w:bCs/>
          <w:color w:val="1F3864"/>
        </w:rPr>
        <w:t xml:space="preserve">Konu: </w:t>
      </w:r>
      <w:r>
        <w:t>Belge sınıfı yetki tablosu, röle/cross-band işletimi ve amatör mesh ağ parametreleri</w:t>
      </w:r>
    </w:p>
    <w:p w:rsidR="005C0D87" w:rsidRDefault="00914645">
      <w:pPr>
        <w:spacing w:after="60"/>
      </w:pPr>
      <w:r>
        <w:rPr>
          <w:b/>
          <w:bCs/>
          <w:color w:val="1F3864"/>
        </w:rPr>
        <w:t xml:space="preserve">İlgili gri alan(lar): </w:t>
      </w:r>
      <w:r>
        <w:t>GA-BAND-1, GA-CROSS, GA-ENFORC, GA-AREDN</w:t>
      </w:r>
    </w:p>
    <w:p w:rsidR="005C0D87" w:rsidRDefault="00914645">
      <w:pPr>
        <w:spacing w:before="80" w:after="100"/>
      </w:pPr>
      <w:r>
        <w:t>Sayın Yetkili,</w:t>
      </w:r>
    </w:p>
    <w:p w:rsidR="005C0D87" w:rsidRDefault="00914645">
      <w:pPr>
        <w:spacing w:after="120"/>
        <w:jc w:val="both"/>
      </w:pPr>
      <w:r>
        <w:t>A, B ve C sınıflarının yetkili bantları ile azami güç değerleri tek bir resmi belgede yayımlanmamıştır. Kritik farklar (50-52 MHz'in C sınıfına kapalı olması; B sınıfının 40m ve 10m'de kendi imalı cihazla 5W ile çalışabilmesi) yeterince duyurulmamaktadır. Sınıf yapısının CEPT T/R 61-01 Tier 1/Tier 2 kurgusuyla uyumlu hale getirilmesi gerekir.</w:t>
      </w:r>
    </w:p>
    <w:p w:rsidR="005C0D87" w:rsidRDefault="00914645">
      <w:pPr>
        <w:spacing w:after="120"/>
        <w:jc w:val="both"/>
      </w:pPr>
      <w:r>
        <w:t>Röle (tekrarlayıcı) işletimi uygulamada dernek tüzel kişiliğine bağlıdır; bireysel cross-band ve acil durum (EMCOMM) geçici işletimi tanımsızdır. Ayrıca yaptırımın yalnızca lisanslı ve kimliği belirlenebilen operatöre uygulanabilmesi ile röle mandalcılığı, topluluk düzenini olumsuz etkilemektedir. AREDN mesh ağlarında 2,4/5,8 GHz amatör kullanım parametreleri ve “kendi imalı cihaz” tanımı belirsizdir.</w:t>
      </w:r>
    </w:p>
    <w:p w:rsidR="005C0D87" w:rsidRDefault="00914645">
      <w:pPr>
        <w:spacing w:before="40" w:after="80"/>
      </w:pPr>
      <w:r>
        <w:rPr>
          <w:b/>
          <w:bCs/>
          <w:color w:val="1F3864"/>
        </w:rPr>
        <w:t>Bu çerçevede Kurumunuzdan talebimiz:</w:t>
      </w:r>
    </w:p>
    <w:p w:rsidR="005C0D87" w:rsidRDefault="00914645">
      <w:pPr>
        <w:pStyle w:val="ListeParagraf"/>
        <w:numPr>
          <w:ilvl w:val="0"/>
          <w:numId w:val="4"/>
        </w:numPr>
        <w:spacing w:after="60"/>
        <w:jc w:val="both"/>
      </w:pPr>
      <w:r>
        <w:t>Her belge sınıfının yetkili bantlarını ve azami ERP/PEP değerlerini gösteren tek, resmi ve kamuya açık tablonun yayımlanması; B sınıfı 40m/10m homebrew provizyonunun duyurulması; CEPT Tier yapısıyla uyum.</w:t>
      </w:r>
    </w:p>
    <w:p w:rsidR="005C0D87" w:rsidRDefault="00914645">
      <w:pPr>
        <w:pStyle w:val="ListeParagraf"/>
        <w:numPr>
          <w:ilvl w:val="0"/>
          <w:numId w:val="4"/>
        </w:numPr>
        <w:spacing w:after="60"/>
        <w:jc w:val="both"/>
      </w:pPr>
      <w:r>
        <w:t>Acil durum/EMCOMM kapsamında bireysel geçici cross-band yardımının serbest sayılması veya basit bildirime bağlanması; röle işletiminin bireysel A sınıfı belge sahiplerine de tanınması ve IARU R1 koordinasyon modelinin benimsenmesi.</w:t>
      </w:r>
    </w:p>
    <w:p w:rsidR="005C0D87" w:rsidRDefault="00914645">
      <w:pPr>
        <w:pStyle w:val="ListeParagraf"/>
        <w:numPr>
          <w:ilvl w:val="0"/>
          <w:numId w:val="4"/>
        </w:numPr>
        <w:spacing w:after="60"/>
        <w:jc w:val="both"/>
      </w:pPr>
      <w:r>
        <w:t>Röle erişim hakkı ve etik işletim için sektör rehberi/tavsiye kararı yayımlanması; KEGM Yönetmeliği'ne röle erişim hakkı ve ihlal prosedürü maddesi eklenmesi.</w:t>
      </w:r>
    </w:p>
    <w:p w:rsidR="005C0D87" w:rsidRDefault="00914645">
      <w:pPr>
        <w:pStyle w:val="ListeParagraf"/>
        <w:numPr>
          <w:ilvl w:val="0"/>
          <w:numId w:val="4"/>
        </w:numPr>
        <w:spacing w:after="60"/>
        <w:jc w:val="both"/>
      </w:pPr>
      <w:r>
        <w:t>2,4/5,8 GHz amatör kullanımı için TAD teknik parametrelerinin eklenmesi; firmware'i değiştirilen ticari donanımın “kendi imalı cihaz” sayılıp sayılmayacağının ve amatör çağrı işareti yayım zorunluluğunun netleştirilmesi.</w:t>
      </w:r>
    </w:p>
    <w:p w:rsidR="005C0D87" w:rsidRDefault="00914645">
      <w:pPr>
        <w:spacing w:before="100" w:after="60"/>
        <w:jc w:val="both"/>
      </w:pPr>
      <w:r>
        <w:t>Gereğinin değerlendirilmesini bilgilerinize saygıyla arz ederiz.</w:t>
      </w:r>
    </w:p>
    <w:p w:rsidR="005C0D87" w:rsidRDefault="00914645">
      <w:pPr>
        <w:spacing w:before="160" w:after="20"/>
      </w:pPr>
      <w:r>
        <w:rPr>
          <w:i/>
          <w:iCs/>
        </w:rPr>
        <w:t>Saygılarımızla,</w:t>
      </w:r>
    </w:p>
    <w:p w:rsidR="005C0D87" w:rsidRDefault="00914645">
      <w:pPr>
        <w:spacing w:after="20"/>
      </w:pPr>
      <w:r>
        <w:rPr>
          <w:b/>
          <w:bCs/>
          <w:color w:val="1F3864"/>
        </w:rPr>
        <w:t>[Kulüp / Şube adı] — [Dernek / Kulüp adı] adına</w:t>
      </w:r>
    </w:p>
    <w:p w:rsidR="005C0D87" w:rsidRDefault="00914645">
      <w:pPr>
        <w:spacing w:after="10"/>
      </w:pPr>
      <w:r>
        <w:t>Ad-Soyad: __________________________     Çağrı İşareti: ______________</w:t>
      </w:r>
    </w:p>
    <w:p w:rsidR="005C0D87" w:rsidRDefault="00914645">
      <w:pPr>
        <w:spacing w:after="10"/>
      </w:pPr>
      <w:r>
        <w:t>Ünvan: ____________________     Tarih: ____________     İmza: ____________</w:t>
      </w:r>
    </w:p>
    <w:p w:rsidR="005C0D87" w:rsidRDefault="00914645">
      <w:r>
        <w:br w:type="page"/>
      </w:r>
    </w:p>
    <w:p w:rsidR="005C0D87" w:rsidRDefault="00914645">
      <w:pPr>
        <w:pStyle w:val="Heading20"/>
      </w:pPr>
      <w:r>
        <w:lastRenderedPageBreak/>
        <w:t>Taslak 4 — T.C. Ticaret Bakanlığı — Gümrükler Genel Müdürlüğü</w:t>
      </w:r>
    </w:p>
    <w:p w:rsidR="005C0D87" w:rsidRDefault="00914645">
      <w:pPr>
        <w:spacing w:after="120"/>
      </w:pPr>
      <w:r>
        <w:rPr>
          <w:b/>
          <w:bCs/>
        </w:rPr>
        <w:t>T.C. Ticaret Bakanlığı — Gümrükler Genel Müdürlüğü</w:t>
      </w:r>
    </w:p>
    <w:p w:rsidR="005C0D87" w:rsidRDefault="00914645">
      <w:pPr>
        <w:spacing w:after="60"/>
      </w:pPr>
      <w:r>
        <w:rPr>
          <w:b/>
          <w:bCs/>
          <w:color w:val="1F3864"/>
        </w:rPr>
        <w:t xml:space="preserve">Konu: </w:t>
      </w:r>
      <w:r>
        <w:t>Amatör telsiz cihazlarının geçici yurt dışı çıkışı için standart prosedür</w:t>
      </w:r>
    </w:p>
    <w:p w:rsidR="005C0D87" w:rsidRDefault="00914645">
      <w:pPr>
        <w:spacing w:after="60"/>
      </w:pPr>
      <w:r>
        <w:rPr>
          <w:b/>
          <w:bCs/>
          <w:color w:val="1F3864"/>
        </w:rPr>
        <w:t xml:space="preserve">İlgili gri alan(lar): </w:t>
      </w:r>
      <w:r>
        <w:t>GA-4</w:t>
      </w:r>
    </w:p>
    <w:p w:rsidR="005C0D87" w:rsidRDefault="00914645">
      <w:pPr>
        <w:spacing w:before="80" w:after="100"/>
      </w:pPr>
      <w:r>
        <w:t>Sayın Yetkili,</w:t>
      </w:r>
    </w:p>
    <w:p w:rsidR="005C0D87" w:rsidRDefault="00914645">
      <w:pPr>
        <w:spacing w:after="120"/>
        <w:jc w:val="both"/>
      </w:pPr>
      <w:r>
        <w:t>Amatör telsizcilerin seyahat amacıyla cihazlarını yurt dışına geçici çıkarması standart bir prosedürden yoksundur. Gümrük Yönetmeliği Ek-71 (ticari nitelikte olmayan eşya geçici ihracat beyannamesi) kullanılmakla birlikte uygulama gümrük müdürlükleri arasında farklılık göstermektedir. CEPT T/R 61-01 kapsamındaki karşılıklı tanıma da gümrük uygulamasına yansımamıştır.</w:t>
      </w:r>
    </w:p>
    <w:p w:rsidR="005C0D87" w:rsidRDefault="00914645">
      <w:pPr>
        <w:spacing w:before="40" w:after="80"/>
      </w:pPr>
      <w:r>
        <w:rPr>
          <w:b/>
          <w:bCs/>
          <w:color w:val="1F3864"/>
        </w:rPr>
        <w:t>Bu çerçevede Kurumunuzdan talebimiz:</w:t>
      </w:r>
    </w:p>
    <w:p w:rsidR="005C0D87" w:rsidRDefault="00914645">
      <w:pPr>
        <w:pStyle w:val="ListeParagraf"/>
        <w:numPr>
          <w:ilvl w:val="0"/>
          <w:numId w:val="5"/>
        </w:numPr>
        <w:spacing w:after="60"/>
        <w:jc w:val="both"/>
      </w:pPr>
      <w:r>
        <w:t>Amatör telsiz cihazlarının geçici çıkışı için il uygulamasından bağımsız, standart bir prosedür belgesi/rehberi yayımlanması.</w:t>
      </w:r>
    </w:p>
    <w:p w:rsidR="005C0D87" w:rsidRDefault="00914645">
      <w:pPr>
        <w:pStyle w:val="ListeParagraf"/>
        <w:numPr>
          <w:ilvl w:val="0"/>
          <w:numId w:val="5"/>
        </w:numPr>
        <w:spacing w:after="60"/>
        <w:jc w:val="both"/>
      </w:pPr>
      <w:r>
        <w:t>Ek-71 formu ve ATA Karnesi kullanımının amatör cihazlar bakımından netleştirilmesi.</w:t>
      </w:r>
    </w:p>
    <w:p w:rsidR="005C0D87" w:rsidRDefault="00914645">
      <w:pPr>
        <w:pStyle w:val="ListeParagraf"/>
        <w:numPr>
          <w:ilvl w:val="0"/>
          <w:numId w:val="5"/>
        </w:numPr>
        <w:spacing w:after="60"/>
        <w:jc w:val="both"/>
      </w:pPr>
      <w:r>
        <w:t>CEPT T/R 61-01 kapsamındaki karşılıklı tanımanın gümrük uygulamasına yansıtılması.</w:t>
      </w:r>
    </w:p>
    <w:p w:rsidR="005C0D87" w:rsidRDefault="00914645">
      <w:pPr>
        <w:spacing w:before="100" w:after="60"/>
        <w:jc w:val="both"/>
      </w:pPr>
      <w:r>
        <w:t>Gereğinin değerlendirilmesini bilgilerinize saygıyla arz ederiz.</w:t>
      </w:r>
    </w:p>
    <w:p w:rsidR="005C0D87" w:rsidRDefault="00914645">
      <w:pPr>
        <w:spacing w:before="160" w:after="20"/>
      </w:pPr>
      <w:r>
        <w:rPr>
          <w:i/>
          <w:iCs/>
        </w:rPr>
        <w:t>Saygılarımızla,</w:t>
      </w:r>
    </w:p>
    <w:p w:rsidR="005C0D87" w:rsidRDefault="00914645">
      <w:pPr>
        <w:spacing w:after="20"/>
      </w:pPr>
      <w:r>
        <w:rPr>
          <w:b/>
          <w:bCs/>
          <w:color w:val="1F3864"/>
        </w:rPr>
        <w:t>[Kulüp / Şube adı] — [Dernek / Kulüp adı] adına</w:t>
      </w:r>
    </w:p>
    <w:p w:rsidR="005C0D87" w:rsidRDefault="00914645">
      <w:pPr>
        <w:spacing w:after="10"/>
      </w:pPr>
      <w:r>
        <w:t>Ad-Soyad: __________________________     Çağrı İşareti: ______________</w:t>
      </w:r>
    </w:p>
    <w:p w:rsidR="005C0D87" w:rsidRDefault="00914645">
      <w:pPr>
        <w:spacing w:after="10"/>
      </w:pPr>
      <w:r>
        <w:t>Ünvan: ____________________     Tarih: ____________     İmza: ____________</w:t>
      </w:r>
    </w:p>
    <w:p w:rsidR="005C0D87" w:rsidRDefault="00914645">
      <w:r>
        <w:br w:type="page"/>
      </w:r>
    </w:p>
    <w:p w:rsidR="005C0D87" w:rsidRDefault="00914645">
      <w:pPr>
        <w:pStyle w:val="Heading20"/>
      </w:pPr>
      <w:r>
        <w:lastRenderedPageBreak/>
        <w:t>Taslak 5 — T.C. Ticaret Bakanlığı — Reklam Kurulu / Tüketicinin Korunması Genel Müdürlüğü</w:t>
      </w:r>
    </w:p>
    <w:p w:rsidR="005C0D87" w:rsidRDefault="00914645">
      <w:pPr>
        <w:spacing w:after="120"/>
      </w:pPr>
      <w:r>
        <w:rPr>
          <w:b/>
          <w:bCs/>
        </w:rPr>
        <w:t>T.C. Ticaret Bakanlığı — Reklam Kurulu / Tüketicinin Korunması Genel Müdürlüğü</w:t>
      </w:r>
    </w:p>
    <w:p w:rsidR="005C0D87" w:rsidRDefault="00914645">
      <w:pPr>
        <w:spacing w:after="60"/>
      </w:pPr>
      <w:r>
        <w:rPr>
          <w:b/>
          <w:bCs/>
          <w:color w:val="1F3864"/>
        </w:rPr>
        <w:t xml:space="preserve">Konu: </w:t>
      </w:r>
      <w:r>
        <w:t>“Amatör telsiz” ibaresinin yanıltıcı kullanımı (POC/Zello türü cihazlar)</w:t>
      </w:r>
    </w:p>
    <w:p w:rsidR="005C0D87" w:rsidRDefault="00914645">
      <w:pPr>
        <w:spacing w:after="60"/>
      </w:pPr>
      <w:r>
        <w:rPr>
          <w:b/>
          <w:bCs/>
          <w:color w:val="1F3864"/>
        </w:rPr>
        <w:t xml:space="preserve">İlgili gri alan(lar): </w:t>
      </w:r>
      <w:r>
        <w:t>GA-POC</w:t>
      </w:r>
    </w:p>
    <w:p w:rsidR="005C0D87" w:rsidRDefault="00914645">
      <w:pPr>
        <w:spacing w:before="80" w:after="100"/>
      </w:pPr>
      <w:r>
        <w:t>Sayın Yetkili,</w:t>
      </w:r>
    </w:p>
    <w:p w:rsidR="005C0D87" w:rsidRDefault="00914645">
      <w:pPr>
        <w:spacing w:after="120"/>
        <w:jc w:val="both"/>
      </w:pPr>
      <w:r>
        <w:t>Push-to-Talk over Cellular (POC/Zello) cihazları hücresel altyapıda çalışır ve hiçbir noktada amatör frekans spektrumu kullanmaz; ITU-RR Md.1 §1.56'daki amatör servis tanımını karşılamaz. Buna karşın bazı satıcılar bu cihazları “amatör telsiz” ve “afet haberleşme aracı” olarak pazarlamakta, şehir röleleriyle yetkisiz bağlantı vaadinde bulunmaktadır. Bu durum, 6502 sayılı Tüketicinin Korunması Hakkında Kanun kapsamında yanıltıcı ticari uygulama niteliği taşıyabilir ve tüketici mağduriyetine yol açmaktadır.</w:t>
      </w:r>
    </w:p>
    <w:p w:rsidR="005C0D87" w:rsidRDefault="00914645">
      <w:pPr>
        <w:spacing w:before="40" w:after="80"/>
      </w:pPr>
      <w:r>
        <w:rPr>
          <w:b/>
          <w:bCs/>
          <w:color w:val="1F3864"/>
        </w:rPr>
        <w:t>Bu çerçevede Kurumunuzdan talebimiz:</w:t>
      </w:r>
    </w:p>
    <w:p w:rsidR="005C0D87" w:rsidRDefault="00914645">
      <w:pPr>
        <w:pStyle w:val="ListeParagraf"/>
        <w:numPr>
          <w:ilvl w:val="0"/>
          <w:numId w:val="6"/>
        </w:numPr>
        <w:spacing w:after="60"/>
        <w:jc w:val="both"/>
      </w:pPr>
      <w:r>
        <w:t>“Amatör telsiz” ibaresinin yalnızca RF tabanlı sistemlere uygulanabileceğinin satıcıya yönelik rehberde açıklanması.</w:t>
      </w:r>
    </w:p>
    <w:p w:rsidR="005C0D87" w:rsidRDefault="00914645">
      <w:pPr>
        <w:pStyle w:val="ListeParagraf"/>
        <w:numPr>
          <w:ilvl w:val="0"/>
          <w:numId w:val="6"/>
        </w:numPr>
        <w:spacing w:after="60"/>
        <w:jc w:val="both"/>
      </w:pPr>
      <w:r>
        <w:t>Yanıltıcı pazarlamaya karşı tüketici şikâyet mekanizmasının işletilmesi ve e-ticaret platformlarına uyarı yönlendirilmesi.</w:t>
      </w:r>
    </w:p>
    <w:p w:rsidR="005C0D87" w:rsidRDefault="00914645">
      <w:pPr>
        <w:spacing w:before="100" w:after="60"/>
        <w:jc w:val="both"/>
      </w:pPr>
      <w:r>
        <w:t>Gereğinin değerlendirilmesini bilgilerinize saygıyla arz ederiz.</w:t>
      </w:r>
    </w:p>
    <w:p w:rsidR="005C0D87" w:rsidRDefault="00914645">
      <w:pPr>
        <w:spacing w:before="160" w:after="20"/>
      </w:pPr>
      <w:r>
        <w:rPr>
          <w:i/>
          <w:iCs/>
        </w:rPr>
        <w:t>Saygılarımızla,</w:t>
      </w:r>
    </w:p>
    <w:p w:rsidR="005C0D87" w:rsidRDefault="00914645">
      <w:pPr>
        <w:spacing w:after="20"/>
      </w:pPr>
      <w:r>
        <w:rPr>
          <w:b/>
          <w:bCs/>
          <w:color w:val="1F3864"/>
        </w:rPr>
        <w:t>[Kulüp / Şube adı] — [Dernek / Kulüp adı] adına</w:t>
      </w:r>
    </w:p>
    <w:p w:rsidR="005C0D87" w:rsidRDefault="00914645">
      <w:pPr>
        <w:spacing w:after="10"/>
      </w:pPr>
      <w:r>
        <w:t>Ad-Soyad: __________________________     Çağrı İşareti: ______________</w:t>
      </w:r>
    </w:p>
    <w:p w:rsidR="005C0D87" w:rsidRDefault="00914645">
      <w:pPr>
        <w:spacing w:after="10"/>
      </w:pPr>
      <w:r>
        <w:t>Ünvan: ____________________     Tarih: ____________     İmza: ____________</w:t>
      </w:r>
    </w:p>
    <w:p w:rsidR="005C0D87" w:rsidRDefault="00914645">
      <w:r>
        <w:br w:type="page"/>
      </w:r>
    </w:p>
    <w:p w:rsidR="005C0D87" w:rsidRDefault="00914645">
      <w:pPr>
        <w:pStyle w:val="Heading20"/>
      </w:pPr>
      <w:r>
        <w:lastRenderedPageBreak/>
        <w:t>Taslak 6 — BTK ve Radyo ve Televizyon Üst Kurulu (RTÜK)</w:t>
      </w:r>
    </w:p>
    <w:p w:rsidR="005C0D87" w:rsidRDefault="00914645">
      <w:pPr>
        <w:spacing w:after="120"/>
      </w:pPr>
      <w:r>
        <w:rPr>
          <w:b/>
          <w:bCs/>
        </w:rPr>
        <w:t>BTK ve Radyo ve Televizyon Üst Kurulu (RTÜK)</w:t>
      </w:r>
    </w:p>
    <w:p w:rsidR="005C0D87" w:rsidRDefault="00914645">
      <w:pPr>
        <w:spacing w:after="60"/>
      </w:pPr>
      <w:r>
        <w:rPr>
          <w:b/>
          <w:bCs/>
          <w:color w:val="1F3864"/>
        </w:rPr>
        <w:t xml:space="preserve">Konu: </w:t>
      </w:r>
      <w:r>
        <w:t>İnternet-RF köprülerinin (EchoLink, AllStar, WebSDR, KiwiSDR) yayın statüsü</w:t>
      </w:r>
    </w:p>
    <w:p w:rsidR="005C0D87" w:rsidRDefault="00914645">
      <w:pPr>
        <w:spacing w:after="60"/>
      </w:pPr>
      <w:r>
        <w:rPr>
          <w:b/>
          <w:bCs/>
          <w:color w:val="1F3864"/>
        </w:rPr>
        <w:t xml:space="preserve">İlgili gri alan(lar): </w:t>
      </w:r>
      <w:r>
        <w:t>GA-NODE</w:t>
      </w:r>
    </w:p>
    <w:p w:rsidR="005C0D87" w:rsidRDefault="00914645">
      <w:pPr>
        <w:spacing w:before="80" w:after="100"/>
      </w:pPr>
      <w:r>
        <w:t>Sayın Yetkili,</w:t>
      </w:r>
    </w:p>
    <w:p w:rsidR="005C0D87" w:rsidRDefault="00914645">
      <w:pPr>
        <w:spacing w:after="120"/>
        <w:jc w:val="both"/>
      </w:pPr>
      <w:r>
        <w:t>EchoLink, AllStar, WebSDR ve KiwiSDR gibi sistemlerde RF'ten alınan sinyal internete yönlendirilmektedir. 6112 sayılı Kanun Md.2'deki “kamuya açık eş zamanlı içerik iletimi” (yayın) tanımı bu trafiği kapsayabilmekte; RTÜK lisansı gerekliliği belirsiz kalmaktadır. Uluslararası uygulamada bu sistemler, RF bağının varlığı esas alınarak amatör servis kapsamında değerlendirilmekte ve fiilen tolere edilmektedir. Mevcut iyi uygulamanın yasal çerçeveye kavuşturulması yerinde olacaktır.</w:t>
      </w:r>
    </w:p>
    <w:p w:rsidR="005C0D87" w:rsidRDefault="00914645">
      <w:pPr>
        <w:spacing w:before="40" w:after="80"/>
      </w:pPr>
      <w:r>
        <w:rPr>
          <w:b/>
          <w:bCs/>
          <w:color w:val="1F3864"/>
        </w:rPr>
        <w:t>Bu çerçevede Kurumunuzdan talebimiz:</w:t>
      </w:r>
    </w:p>
    <w:p w:rsidR="005C0D87" w:rsidRDefault="00914645">
      <w:pPr>
        <w:pStyle w:val="ListeParagraf"/>
        <w:numPr>
          <w:ilvl w:val="0"/>
          <w:numId w:val="7"/>
        </w:numPr>
        <w:spacing w:after="60"/>
        <w:jc w:val="both"/>
      </w:pPr>
      <w:r>
        <w:t>RF köprülü internet trafiğinin (EchoLink, AllStar, WebSDR, KiwiSDR) 6112 sayılı Kanun kapsamında “yayın” sayılmadığının ortak görüş yazısıyla teyit edilmesi.</w:t>
      </w:r>
    </w:p>
    <w:p w:rsidR="005C0D87" w:rsidRDefault="00914645">
      <w:pPr>
        <w:pStyle w:val="ListeParagraf"/>
        <w:numPr>
          <w:ilvl w:val="0"/>
          <w:numId w:val="7"/>
        </w:numPr>
        <w:spacing w:after="60"/>
        <w:jc w:val="both"/>
      </w:pPr>
      <w:r>
        <w:t>Amatör internet-RF arayüzlerine ilişkin FTM/TAD düzenlemelerine açıklayıcı bir hüküm eklenmesi.</w:t>
      </w:r>
    </w:p>
    <w:p w:rsidR="005C0D87" w:rsidRDefault="00914645">
      <w:pPr>
        <w:spacing w:before="100" w:after="60"/>
        <w:jc w:val="both"/>
      </w:pPr>
      <w:r>
        <w:t>Gereğinin değerlendirilmesini bilgilerinize saygıyla arz ederiz.</w:t>
      </w:r>
    </w:p>
    <w:p w:rsidR="005C0D87" w:rsidRDefault="00914645">
      <w:pPr>
        <w:spacing w:before="160" w:after="20"/>
      </w:pPr>
      <w:r>
        <w:rPr>
          <w:i/>
          <w:iCs/>
        </w:rPr>
        <w:t>Saygılarımızla,</w:t>
      </w:r>
    </w:p>
    <w:p w:rsidR="005C0D87" w:rsidRDefault="00914645">
      <w:pPr>
        <w:spacing w:after="20"/>
      </w:pPr>
      <w:r>
        <w:rPr>
          <w:b/>
          <w:bCs/>
          <w:color w:val="1F3864"/>
        </w:rPr>
        <w:t>[Kulüp / Şube adı] — [Dernek / Kulüp adı] adına</w:t>
      </w:r>
    </w:p>
    <w:p w:rsidR="005C0D87" w:rsidRDefault="00914645">
      <w:pPr>
        <w:spacing w:after="10"/>
      </w:pPr>
      <w:r>
        <w:t>Ad-Soyad: __________________________     Çağrı İşareti: ______________</w:t>
      </w:r>
    </w:p>
    <w:p w:rsidR="005C0D87" w:rsidRDefault="00914645">
      <w:pPr>
        <w:spacing w:after="10"/>
      </w:pPr>
      <w:r>
        <w:t>Ünvan: ____________________     Tarih: ____________     İmza: ____________</w:t>
      </w:r>
    </w:p>
    <w:p w:rsidR="005C0D87" w:rsidRDefault="00914645">
      <w:r>
        <w:br w:type="page"/>
      </w:r>
    </w:p>
    <w:p w:rsidR="005C0D87" w:rsidRDefault="00914645">
      <w:pPr>
        <w:pStyle w:val="Heading20"/>
      </w:pPr>
      <w:r>
        <w:lastRenderedPageBreak/>
        <w:t>Taslak 7 — T.C. Çevre, Şehircilik ve İklim Değişikliği Bakanlığı</w:t>
      </w:r>
    </w:p>
    <w:p w:rsidR="005C0D87" w:rsidRDefault="00914645">
      <w:pPr>
        <w:spacing w:after="120"/>
      </w:pPr>
      <w:r>
        <w:rPr>
          <w:b/>
          <w:bCs/>
        </w:rPr>
        <w:t>T.C. Çevre, Şehircilik ve İklim Değişikliği Bakanlığı</w:t>
      </w:r>
    </w:p>
    <w:p w:rsidR="005C0D87" w:rsidRDefault="00914645">
      <w:pPr>
        <w:spacing w:after="60"/>
      </w:pPr>
      <w:r>
        <w:rPr>
          <w:b/>
          <w:bCs/>
          <w:color w:val="1F3864"/>
        </w:rPr>
        <w:t xml:space="preserve">Konu: </w:t>
      </w:r>
      <w:r>
        <w:t>Amatör telsiz anteni kurulumu ile Kat Mülkiyeti Kanunu Md.19 çatışması</w:t>
      </w:r>
    </w:p>
    <w:p w:rsidR="005C0D87" w:rsidRDefault="00914645">
      <w:pPr>
        <w:spacing w:after="60"/>
      </w:pPr>
      <w:r>
        <w:rPr>
          <w:b/>
          <w:bCs/>
          <w:color w:val="1F3864"/>
        </w:rPr>
        <w:t xml:space="preserve">İlgili gri alan(lar): </w:t>
      </w:r>
      <w:r>
        <w:t>GA-6</w:t>
      </w:r>
    </w:p>
    <w:p w:rsidR="005C0D87" w:rsidRDefault="00914645">
      <w:pPr>
        <w:spacing w:before="80" w:after="100"/>
      </w:pPr>
      <w:r>
        <w:t>Sayın Yetkili,</w:t>
      </w:r>
    </w:p>
    <w:p w:rsidR="005C0D87" w:rsidRDefault="00914645">
      <w:pPr>
        <w:spacing w:after="120"/>
        <w:jc w:val="both"/>
      </w:pPr>
      <w:r>
        <w:t>Amatör telsiz anteni kurmak isteyen operatörler, 634 sayılı Kat Mülkiyeti Kanunu Md.19 kapsamında ortak alanlardaki değişikliği kat maliklerinin nitelikli çoğunluğunun onayına bağlayan hükümle karşılaşmaktadır. Mevzuatta amatör antene özgü bir muafiyet veya güvence bulunmamakta; emsal mahkeme kararları dağınıktır. 5809 sayılı Kanun Md.37/3 ile güvence altına alınan haberleşme hakkı ile Md.19 arasındaki çatışma çözümsüz kalmaktadır.</w:t>
      </w:r>
    </w:p>
    <w:p w:rsidR="005C0D87" w:rsidRDefault="00914645">
      <w:pPr>
        <w:spacing w:before="40" w:after="80"/>
      </w:pPr>
      <w:r>
        <w:rPr>
          <w:b/>
          <w:bCs/>
          <w:color w:val="1F3864"/>
        </w:rPr>
        <w:t>Bu çerçevede Kurumunuzdan talebimiz:</w:t>
      </w:r>
    </w:p>
    <w:p w:rsidR="005C0D87" w:rsidRDefault="00914645">
      <w:pPr>
        <w:pStyle w:val="ListeParagraf"/>
        <w:numPr>
          <w:ilvl w:val="0"/>
          <w:numId w:val="8"/>
        </w:numPr>
        <w:spacing w:after="60"/>
        <w:jc w:val="both"/>
      </w:pPr>
      <w:r>
        <w:t>634 sayılı KMK Md.19 ile çatışmayı gideren bir yasal düzenleme veya açıklayıcı genelge çıkarılması.</w:t>
      </w:r>
    </w:p>
    <w:p w:rsidR="005C0D87" w:rsidRDefault="00914645">
      <w:pPr>
        <w:pStyle w:val="ListeParagraf"/>
        <w:numPr>
          <w:ilvl w:val="0"/>
          <w:numId w:val="8"/>
        </w:numPr>
        <w:spacing w:after="60"/>
        <w:jc w:val="both"/>
      </w:pPr>
      <w:r>
        <w:t>Amatör telsiz antenlerine özgü asgari hak/güvence çerçevesinin (yükseklik, ortak alan kullanım usulü) tanımlanması.</w:t>
      </w:r>
    </w:p>
    <w:p w:rsidR="005C0D87" w:rsidRDefault="00914645">
      <w:pPr>
        <w:spacing w:before="100" w:after="60"/>
        <w:jc w:val="both"/>
      </w:pPr>
      <w:r>
        <w:t>Gereğinin değerlendirilmesini bilgilerinize saygıyla arz ederiz.</w:t>
      </w:r>
    </w:p>
    <w:p w:rsidR="005C0D87" w:rsidRDefault="00914645">
      <w:pPr>
        <w:spacing w:before="160" w:after="20"/>
      </w:pPr>
      <w:r>
        <w:rPr>
          <w:i/>
          <w:iCs/>
        </w:rPr>
        <w:t>Saygılarımızla,</w:t>
      </w:r>
    </w:p>
    <w:p w:rsidR="005C0D87" w:rsidRDefault="00914645">
      <w:pPr>
        <w:spacing w:after="20"/>
      </w:pPr>
      <w:r>
        <w:rPr>
          <w:b/>
          <w:bCs/>
          <w:color w:val="1F3864"/>
        </w:rPr>
        <w:t>[Kulüp / Şube adı] — [Dernek / Kulüp adı] adına</w:t>
      </w:r>
    </w:p>
    <w:p w:rsidR="005C0D87" w:rsidRDefault="00914645">
      <w:pPr>
        <w:spacing w:after="10"/>
      </w:pPr>
      <w:r>
        <w:t>Ad-Soyad: __________________________     Çağrı İşareti: ______________</w:t>
      </w:r>
    </w:p>
    <w:p w:rsidR="005C0D87" w:rsidRDefault="00914645">
      <w:pPr>
        <w:spacing w:after="10"/>
      </w:pPr>
      <w:r>
        <w:t>Ünvan: ____________________     Tarih: ____________     İmza: ____________</w:t>
      </w:r>
    </w:p>
    <w:p w:rsidR="005C0D87" w:rsidRDefault="00914645">
      <w:r>
        <w:br w:type="page"/>
      </w:r>
    </w:p>
    <w:p w:rsidR="005C0D87" w:rsidRDefault="00914645">
      <w:pPr>
        <w:pStyle w:val="Heading20"/>
      </w:pPr>
      <w:r>
        <w:lastRenderedPageBreak/>
        <w:t>Taslak 8 — T.C. Tarım ve Orman Bakanlığı — Orman Genel Müdürlüğü ve Doğa Koruma ve Milli Parklar Genel Müdürlüğü</w:t>
      </w:r>
    </w:p>
    <w:p w:rsidR="005C0D87" w:rsidRDefault="00914645">
      <w:pPr>
        <w:spacing w:after="120"/>
      </w:pPr>
      <w:r>
        <w:rPr>
          <w:b/>
          <w:bCs/>
        </w:rPr>
        <w:t>T.C. Tarım ve Orman Bakanlığı — Orman Genel Müdürlüğü ve Doğa Koruma ve Milli Parklar Genel Müdürlüğü</w:t>
      </w:r>
    </w:p>
    <w:p w:rsidR="005C0D87" w:rsidRDefault="00914645">
      <w:pPr>
        <w:spacing w:after="60"/>
      </w:pPr>
      <w:r>
        <w:rPr>
          <w:b/>
          <w:bCs/>
          <w:color w:val="1F3864"/>
        </w:rPr>
        <w:t xml:space="preserve">Konu: </w:t>
      </w:r>
      <w:r>
        <w:t>Park ve koru aktivasyonlarında (POTA) arazi kullanım izinleri</w:t>
      </w:r>
    </w:p>
    <w:p w:rsidR="005C0D87" w:rsidRDefault="00914645">
      <w:pPr>
        <w:spacing w:after="60"/>
      </w:pPr>
      <w:r>
        <w:rPr>
          <w:b/>
          <w:bCs/>
          <w:color w:val="1F3864"/>
        </w:rPr>
        <w:t xml:space="preserve">İlgili gri alan(lar): </w:t>
      </w:r>
      <w:r>
        <w:t>GA-POTA</w:t>
      </w:r>
    </w:p>
    <w:p w:rsidR="005C0D87" w:rsidRDefault="00914645">
      <w:pPr>
        <w:spacing w:before="80" w:after="100"/>
      </w:pPr>
      <w:r>
        <w:t>Sayın Yetkili,</w:t>
      </w:r>
    </w:p>
    <w:p w:rsidR="005C0D87" w:rsidRDefault="00914645">
      <w:pPr>
        <w:spacing w:after="120"/>
        <w:jc w:val="both"/>
      </w:pPr>
      <w:r>
        <w:t>Parks on the Air (POTA) aktivasyonları giderek yaygınlaşmaktadır. FTM muafiyeti yalnızca frekans spektrumu kullanımını kapsar; araziye erişim, konaklama ve anten kurulumu için arazi sahibi kurumun izni ayrı bir hukuki meseledir. Milli park (2873 sayılı Kanun), devlet ormanı (6831 sayılı Kanun Md.17), belediye parkı (5393 sayılı Kanun) ve kıyı (3621 sayılı Kanun) gibi farklı arazi türlerinde hangi kuruma başvurulacağı belirsizdir.</w:t>
      </w:r>
    </w:p>
    <w:p w:rsidR="005C0D87" w:rsidRDefault="00914645">
      <w:pPr>
        <w:spacing w:before="40" w:after="80"/>
      </w:pPr>
      <w:r>
        <w:rPr>
          <w:b/>
          <w:bCs/>
          <w:color w:val="1F3864"/>
        </w:rPr>
        <w:t>Bu çerçevede Kurumunuzdan talebimiz:</w:t>
      </w:r>
    </w:p>
    <w:p w:rsidR="005C0D87" w:rsidRDefault="00914645">
      <w:pPr>
        <w:pStyle w:val="ListeParagraf"/>
        <w:numPr>
          <w:ilvl w:val="0"/>
          <w:numId w:val="9"/>
        </w:numPr>
        <w:spacing w:after="60"/>
        <w:jc w:val="both"/>
      </w:pPr>
      <w:r>
        <w:t>POTA aktivasyonu için arazi türüne göre “hangi kuruma başvurulur” birleşik kılavuzu/tablosunun yayımlanması.</w:t>
      </w:r>
    </w:p>
    <w:p w:rsidR="005C0D87" w:rsidRDefault="00914645">
      <w:pPr>
        <w:pStyle w:val="ListeParagraf"/>
        <w:numPr>
          <w:ilvl w:val="0"/>
          <w:numId w:val="9"/>
        </w:numPr>
        <w:spacing w:after="60"/>
        <w:jc w:val="both"/>
      </w:pPr>
      <w:r>
        <w:t>Kısa süreli, düşük etkili bireysel aktivasyonlar için basitleştirilmiş bildirim/muafiyet çerçevesi tanımlanması.</w:t>
      </w:r>
    </w:p>
    <w:p w:rsidR="005C0D87" w:rsidRDefault="00914645">
      <w:pPr>
        <w:pStyle w:val="ListeParagraf"/>
        <w:numPr>
          <w:ilvl w:val="0"/>
          <w:numId w:val="9"/>
        </w:numPr>
        <w:spacing w:after="60"/>
        <w:jc w:val="both"/>
      </w:pPr>
      <w:r>
        <w:t>(BTK ile) FTM muafiyetinin arazi iznini kapsamadığını açıklayan bir tebliğ yayımlanması.</w:t>
      </w:r>
    </w:p>
    <w:p w:rsidR="005C0D87" w:rsidRDefault="00914645">
      <w:pPr>
        <w:spacing w:before="100" w:after="60"/>
        <w:jc w:val="both"/>
      </w:pPr>
      <w:r>
        <w:t>Gereğinin değerlendirilmesini bilgilerinize saygıyla arz ederiz.</w:t>
      </w:r>
    </w:p>
    <w:p w:rsidR="005C0D87" w:rsidRDefault="00914645">
      <w:pPr>
        <w:spacing w:before="160" w:after="20"/>
      </w:pPr>
      <w:r>
        <w:rPr>
          <w:i/>
          <w:iCs/>
        </w:rPr>
        <w:t>Saygılarımızla,</w:t>
      </w:r>
    </w:p>
    <w:p w:rsidR="005C0D87" w:rsidRDefault="00914645">
      <w:pPr>
        <w:spacing w:after="20"/>
      </w:pPr>
      <w:r>
        <w:rPr>
          <w:b/>
          <w:bCs/>
          <w:color w:val="1F3864"/>
        </w:rPr>
        <w:t>[Kulüp / Şube adı] — [Dernek / Kulüp adı] adına</w:t>
      </w:r>
    </w:p>
    <w:p w:rsidR="005C0D87" w:rsidRDefault="00914645">
      <w:pPr>
        <w:spacing w:after="10"/>
      </w:pPr>
      <w:r>
        <w:t>Ad-Soyad: __________________________     Çağrı İşareti: ______________</w:t>
      </w:r>
    </w:p>
    <w:p w:rsidR="005C0D87" w:rsidRDefault="00914645">
      <w:pPr>
        <w:spacing w:after="10"/>
      </w:pPr>
      <w:r>
        <w:t>Ünvan: ____________________     Tarih: ____________     İmza: ____________</w:t>
      </w:r>
    </w:p>
    <w:p w:rsidR="0051352E" w:rsidRDefault="0051352E">
      <w:pPr>
        <w:rPr>
          <w:b/>
          <w:bCs/>
          <w:color w:val="2E75B6"/>
          <w:sz w:val="23"/>
          <w:szCs w:val="23"/>
        </w:rPr>
      </w:pPr>
      <w:r>
        <w:br w:type="page"/>
      </w:r>
    </w:p>
    <w:p w:rsidR="009F6020" w:rsidRDefault="0020047E">
      <w:pPr>
        <w:pStyle w:val="Heading20"/>
      </w:pPr>
      <w:r>
        <w:lastRenderedPageBreak/>
        <w:t>Taslak 9 — Kıyı Emniyeti Genel Müdürlüğü (KEGM)</w:t>
      </w:r>
    </w:p>
    <w:p w:rsidR="009F6020" w:rsidRDefault="0020047E">
      <w:r>
        <w:rPr>
          <w:b/>
        </w:rPr>
        <w:t>Kıyı Emniyeti Genel Müdürlüğü — Telsiz İşletme Müdürlüğü</w:t>
      </w:r>
    </w:p>
    <w:p w:rsidR="009F6020" w:rsidRDefault="0020047E">
      <w:r>
        <w:rPr>
          <w:b/>
        </w:rPr>
        <w:t xml:space="preserve">Konu: </w:t>
      </w:r>
      <w:r>
        <w:t xml:space="preserve">Silent Key / çağrı işareti yaşam döngüsü ve bölge değişiminde çağrı işareti </w:t>
      </w:r>
      <w:r>
        <w:t>taşınabilirliği</w:t>
      </w:r>
    </w:p>
    <w:p w:rsidR="009F6020" w:rsidRDefault="0020047E">
      <w:r>
        <w:rPr>
          <w:b/>
        </w:rPr>
        <w:t xml:space="preserve">İlgili gri alan(lar): </w:t>
      </w:r>
      <w:r>
        <w:t>GA-SK, GA-CALL</w:t>
      </w:r>
    </w:p>
    <w:p w:rsidR="009F6020" w:rsidRDefault="0020047E">
      <w:r>
        <w:t>Sayın Yetkili,</w:t>
      </w:r>
    </w:p>
    <w:p w:rsidR="009F6020" w:rsidRDefault="0020047E">
      <w:r>
        <w:t>Amatör Telsizcilik Sınav ve Belgelendirme Yönetmeliği Md.7/2, vefat veya vesayet hâlinde çağrı işaretinin — belgenin geçerlilik süresi içinde olmak, aynı bölgede ikamet etmek ve eşdeğer be</w:t>
      </w:r>
      <w:r>
        <w:t xml:space="preserve">lgeye sahip olmak kaydıyla — hak sahipliğini belgeleyen varis/vasiye tahsis edilebileceğini düzenlemektedir. Ancak bu mekanizmanın (a) belgenin 10 yıllık süresi sona erdikten sonraki akıbeti mevzuatta açık değildir; (b) varis/vasinin zaten eşdeğer sınıfta </w:t>
      </w:r>
      <w:r>
        <w:t>belgeye sahip olması şartı, henüz belgesiz aile üyelerini kapsam dışı bırakmaktadır; (c) camiada yeterince bilinmemektedir. Bu durum, bekleyen çağrı işaretini almak isteyenler ile anısını korumak isteyenler arasında gerginlik doğurabilmektedir.</w:t>
      </w:r>
    </w:p>
    <w:p w:rsidR="009F6020" w:rsidRDefault="0020047E">
      <w:r>
        <w:t>Ayrıca ikam</w:t>
      </w:r>
      <w:r>
        <w:t>et farklı bir bölgeye taşındığında üç ay içinde başvuru zorunluluğu bulunmakta; operatör ya yeni bölgeye göre yeni çağrı işareti almakta ya da mevcut işaretini '/(bölge rakamı)' ekleyerek korumaktadır. Kalıcı ikamette bu korumanın süresiz kabulü belirsizdi</w:t>
      </w:r>
      <w:r>
        <w:t>r ve afet kaynaklı zorunlu göçlerin artmasıyla kural uygulamada işlevini yitirmektedir.</w:t>
      </w:r>
    </w:p>
    <w:p w:rsidR="009F6020" w:rsidRDefault="0020047E">
      <w:r>
        <w:rPr>
          <w:b/>
        </w:rPr>
        <w:t>Bu çerçevede Kurumunuzdan talebimiz:</w:t>
      </w:r>
    </w:p>
    <w:p w:rsidR="009F6020" w:rsidRDefault="0020047E">
      <w:r>
        <w:t xml:space="preserve">1. Md.7/2 kapsamındaki vesayet tahsisinin, belgenin 10 yıllık geçerlilik süresi sona erdikten sonraki akıbetinin netleştirilmesi; </w:t>
      </w:r>
      <w:r>
        <w:t>'eşdeğer belge sahibi olma' şartının aile üyeleri için esnetilip esnetilemeyeceğinin değerlendirilmesi; bu mekanizmanın topluluğa rehberle duyurulması.</w:t>
      </w:r>
    </w:p>
    <w:p w:rsidR="009F6020" w:rsidRDefault="0020047E">
      <w:r>
        <w:t>2. Bölge değişiminde '/(bölge)' ile korumanın kalıcı ikamette süresiz kabulü ve üç aylık başvuru yükünün</w:t>
      </w:r>
      <w:r>
        <w:t xml:space="preserve"> hafifletilmesi.</w:t>
      </w:r>
    </w:p>
    <w:p w:rsidR="009F6020" w:rsidRDefault="0020047E">
      <w:r>
        <w:t>3. Afet kaynaklı zorunlu göçlerde çağrı işareti ve başvuru yükümlülüğü bakımından muafiyet tanınması.</w:t>
      </w:r>
    </w:p>
    <w:p w:rsidR="009F6020" w:rsidRDefault="0020047E">
      <w:r>
        <w:t>4. Çağrı işaretinin ülke genelinde taşınabilir kılınmasının değerlendirilmesi.</w:t>
      </w:r>
    </w:p>
    <w:p w:rsidR="009F6020" w:rsidRDefault="0020047E">
      <w:r>
        <w:t>Gereğinin değerlendirilmesini bilgilerinize saygıyla arz e</w:t>
      </w:r>
      <w:r>
        <w:t>deriz.</w:t>
      </w:r>
    </w:p>
    <w:p w:rsidR="009F6020" w:rsidRDefault="0020047E">
      <w:r>
        <w:rPr>
          <w:i/>
        </w:rPr>
        <w:t>Saygılarımızla,</w:t>
      </w:r>
    </w:p>
    <w:p w:rsidR="009F6020" w:rsidRDefault="0020047E">
      <w:r w:rsidRPr="00105C83">
        <w:rPr>
          <w:b/>
        </w:rPr>
        <w:t>[Dernek / Kulüp adı] adına</w:t>
      </w:r>
    </w:p>
    <w:p w:rsidR="009F6020" w:rsidRDefault="0020047E">
      <w:r>
        <w:t>Ad-Soyad: __________________________     Çağrı İşareti: ______________</w:t>
      </w:r>
    </w:p>
    <w:p w:rsidR="009F6020" w:rsidRDefault="0020047E">
      <w:r>
        <w:t>Ünvan: ____________________     Tarih: ____________     İmza: ____________</w:t>
      </w:r>
    </w:p>
    <w:p w:rsidR="0051352E" w:rsidRDefault="0051352E">
      <w:pPr>
        <w:rPr>
          <w:b/>
          <w:bCs/>
          <w:color w:val="2E75B6"/>
          <w:sz w:val="23"/>
          <w:szCs w:val="23"/>
        </w:rPr>
      </w:pPr>
      <w:r>
        <w:br w:type="page"/>
      </w:r>
    </w:p>
    <w:p w:rsidR="009F6020" w:rsidRDefault="0020047E">
      <w:pPr>
        <w:pStyle w:val="Heading20"/>
      </w:pPr>
      <w:r w:rsidRPr="0051352E">
        <w:lastRenderedPageBreak/>
        <w:t>Taslak 10 — T.C. İçişleri Bakanlığı — Afet ve Acil Durum Yön</w:t>
      </w:r>
      <w:r w:rsidRPr="0051352E">
        <w:t>etimi Başkanlığı (AFAD)</w:t>
      </w:r>
    </w:p>
    <w:p w:rsidR="009F6020" w:rsidRPr="00105C83" w:rsidRDefault="0020047E">
      <w:pPr>
        <w:rPr>
          <w:b/>
        </w:rPr>
      </w:pPr>
      <w:r w:rsidRPr="00105C83">
        <w:rPr>
          <w:b/>
        </w:rPr>
        <w:t>T.C. İçişleri Bakanlığı — Afet ve Acil Durum Yönetimi Başkanlığı (AFAD)</w:t>
      </w:r>
    </w:p>
    <w:p w:rsidR="009F6020" w:rsidRDefault="0020047E">
      <w:r>
        <w:rPr>
          <w:b/>
        </w:rPr>
        <w:t xml:space="preserve">Konu: </w:t>
      </w:r>
      <w:r w:rsidRPr="00105C83">
        <w:t>Amatör telsizcilerin afet haberleşmesindeki rolünün protokole bağlanması</w:t>
      </w:r>
    </w:p>
    <w:p w:rsidR="009F6020" w:rsidRDefault="0020047E">
      <w:r w:rsidRPr="00105C83">
        <w:rPr>
          <w:b/>
        </w:rPr>
        <w:t>İlgili gri alan(lar):</w:t>
      </w:r>
      <w:r w:rsidRPr="00105C83">
        <w:t xml:space="preserve"> GA-EMCOMM</w:t>
      </w:r>
    </w:p>
    <w:p w:rsidR="009F6020" w:rsidRDefault="0020047E">
      <w:r>
        <w:t>Sayın Yetkili,</w:t>
      </w:r>
    </w:p>
    <w:p w:rsidR="009F6020" w:rsidRDefault="0020047E">
      <w:r>
        <w:t>Amatör Telsizcilik Sınav ve Belgel</w:t>
      </w:r>
      <w:r>
        <w:t>endirme Yönetmeliği (Md.4/1e), amatör istasyonların amaçları arasında afet ve acil durum haberleşmesini saymaktadır. IARU'nun Acil Telekomünikasyon Kılavuzu (ETG — Türkçe baskısı mevcuttur) ulusal afet kurumlarıyla mutabakat zaptı (MOU) modelini önerir; bu</w:t>
      </w:r>
      <w:r>
        <w:t xml:space="preserve"> model Almanya (DARC-BBK) ve ABD (ARES/RACES-FEMA) dâhil birçok ülkede uygulanmaktadır. Türkiye'de ise amatör telsizcileri kapsayan resmî bir protokol bulunmamakta; geçmiş afetlerdeki fiilî katkılar plansız ve kayıt dışı kalmaktadır.</w:t>
      </w:r>
    </w:p>
    <w:p w:rsidR="009F6020" w:rsidRDefault="0020047E">
      <w:r>
        <w:rPr>
          <w:b/>
        </w:rPr>
        <w:t>Bu çerçevede Kurumunuz</w:t>
      </w:r>
      <w:r>
        <w:rPr>
          <w:b/>
        </w:rPr>
        <w:t>dan talebimiz:</w:t>
      </w:r>
    </w:p>
    <w:p w:rsidR="009F6020" w:rsidRDefault="0020047E">
      <w:r>
        <w:t>1. Amatör telsiz dernek ve kulüplerini kapsayan ulusal afet haberleşme protokolünün (MOU) hayata geçirilmesi.</w:t>
      </w:r>
    </w:p>
    <w:p w:rsidR="009F6020" w:rsidRDefault="0020047E">
      <w:r>
        <w:t>2. İl AFAD müdürlükleri ile yerel kulüpler arasında eşleşme ve ortak tatbikat usulünün tanımlanması.</w:t>
      </w:r>
    </w:p>
    <w:p w:rsidR="009F6020" w:rsidRDefault="0020047E">
      <w:r>
        <w:t>3. Afet planlarında amatör fre</w:t>
      </w:r>
      <w:r>
        <w:t>kanslarının ve rollerinin yer alması.</w:t>
      </w:r>
    </w:p>
    <w:p w:rsidR="009F6020" w:rsidRDefault="0020047E">
      <w:r>
        <w:t>Gereğinin değerlendirilmesini bilgilerinize saygıyla arz ederiz.</w:t>
      </w:r>
    </w:p>
    <w:p w:rsidR="009F6020" w:rsidRDefault="0020047E">
      <w:r>
        <w:rPr>
          <w:i/>
        </w:rPr>
        <w:t>Saygılarımızla,</w:t>
      </w:r>
    </w:p>
    <w:p w:rsidR="009F6020" w:rsidRDefault="0020047E">
      <w:r>
        <w:rPr>
          <w:b/>
        </w:rPr>
        <w:t>[Dernek / Kulüp adı] adına</w:t>
      </w:r>
    </w:p>
    <w:p w:rsidR="009F6020" w:rsidRDefault="0020047E">
      <w:r>
        <w:t xml:space="preserve">Ad-Soyad: __________________________ Çağrı İşareti: ______________  Ünvan: ____________________ Tarih: </w:t>
      </w:r>
      <w:r>
        <w:t>____________ İmza: ____________</w:t>
      </w:r>
    </w:p>
    <w:p w:rsidR="0051352E" w:rsidRDefault="0051352E">
      <w:pPr>
        <w:rPr>
          <w:b/>
          <w:bCs/>
          <w:color w:val="2E75B6"/>
          <w:sz w:val="23"/>
          <w:szCs w:val="23"/>
        </w:rPr>
      </w:pPr>
      <w:r>
        <w:br w:type="page"/>
      </w:r>
    </w:p>
    <w:p w:rsidR="009F6020" w:rsidRDefault="0020047E">
      <w:pPr>
        <w:pStyle w:val="Heading20"/>
      </w:pPr>
      <w:r w:rsidRPr="0051352E">
        <w:lastRenderedPageBreak/>
        <w:t>Taslak 11 — BTK (Piyasa Gözetimi) ve T.C. Ticaret Bakanlığı</w:t>
      </w:r>
    </w:p>
    <w:p w:rsidR="009F6020" w:rsidRPr="00105C83" w:rsidRDefault="0020047E">
      <w:pPr>
        <w:rPr>
          <w:b/>
        </w:rPr>
      </w:pPr>
      <w:r w:rsidRPr="00105C83">
        <w:rPr>
          <w:b/>
        </w:rPr>
        <w:t>T.C. Bilgi Teknolojileri ve İletişim Kurumu (BTK) — Piyasa Gözetimi ve Denetimi / T.C. Ticaret Bakanlığı</w:t>
      </w:r>
    </w:p>
    <w:p w:rsidR="009F6020" w:rsidRPr="00105C83" w:rsidRDefault="0020047E">
      <w:r>
        <w:rPr>
          <w:b/>
        </w:rPr>
        <w:t xml:space="preserve">Konu: </w:t>
      </w:r>
      <w:r w:rsidRPr="00105C83">
        <w:t>Amatör bant verici cihazlarında piyasa gözetimi, satı</w:t>
      </w:r>
      <w:r w:rsidRPr="00105C83">
        <w:t>şta belge kontrolü ve devir kaydı</w:t>
      </w:r>
    </w:p>
    <w:p w:rsidR="009F6020" w:rsidRDefault="0020047E">
      <w:r>
        <w:rPr>
          <w:b/>
        </w:rPr>
        <w:t>İlgili gri alan(lar): GA-CIHAZ</w:t>
      </w:r>
    </w:p>
    <w:p w:rsidR="009F6020" w:rsidRDefault="0020047E">
      <w:r>
        <w:t>Sayın Yetkili,</w:t>
      </w:r>
    </w:p>
    <w:p w:rsidR="009F6020" w:rsidRDefault="0020047E">
      <w:r>
        <w:t>TTTE Yönetmeliği (2014/53/AB RED uyumu) uyarınca telsiz cihazlarının piyasaya arzı uygunluk beyanına dayanmaktadır. Bu rejimde, istenmeyen (spurious) emisyon limitlerini karşıl</w:t>
      </w:r>
      <w:r>
        <w:t>amayan düşük maliyetli verici cihazlar, e-ticaret platformlarında amatör telsizcilik belgesi sorulmaksızın satılabilmektedir. Nitekim Kurumunuz Aralık 2019'da, aralarında Baofeng UV-5R'ın da bulunduğu cihazları güvensiz ilan ederek satış yasağı ve toplatma</w:t>
      </w:r>
      <w:r>
        <w:t xml:space="preserve"> kararı almıştır; benzer cihazların satışı ise sürmektedir. Ayrıca ikinci el cihaz devrine ilişkin basit bir bildirim usulü bulunmadığından, el değiştiren cihazların izlenebilirliği zayıftır. Belgeli amatör telsiz camiası bu denetimin karşısında değil, tar</w:t>
      </w:r>
      <w:r>
        <w:t>afındadır.</w:t>
      </w:r>
    </w:p>
    <w:p w:rsidR="009F6020" w:rsidRDefault="0020047E">
      <w:r>
        <w:rPr>
          <w:b/>
        </w:rPr>
        <w:t>Bu çerçevede Kurumlarınızdan talebimiz:</w:t>
      </w:r>
    </w:p>
    <w:p w:rsidR="009F6020" w:rsidRDefault="0020047E">
      <w:r>
        <w:t>1. Amatör bantlarda çalışan verici cihazların e-ticaret satışında amatör telsizcilik belgesi kontrolünün getirilmesi.</w:t>
      </w:r>
    </w:p>
    <w:p w:rsidR="009F6020" w:rsidRDefault="0020047E">
      <w:r>
        <w:t>2. İstenmeyen emisyon denetimlerinin sıklaştırılması ve güvensiz ürün listelerinin günc</w:t>
      </w:r>
      <w:r>
        <w:t>el tutulması.</w:t>
      </w:r>
    </w:p>
    <w:p w:rsidR="009F6020" w:rsidRDefault="0020047E">
      <w:r>
        <w:t>3. İkinci el cihaz devri için basit bir bildirim usulü tanımlanması.</w:t>
      </w:r>
    </w:p>
    <w:p w:rsidR="009F6020" w:rsidRDefault="0020047E">
      <w:r>
        <w:t>4. SDR kartlarının (ör. ADALM-Pluto) eğitim/hobi statüsü ile çift kullanım (dual-use) koşullarının rehberle açıklanması.</w:t>
      </w:r>
    </w:p>
    <w:p w:rsidR="009F6020" w:rsidRDefault="0020047E">
      <w:r>
        <w:t>Gereğinin değerlendirilmesini bilgilerinize saygıyla</w:t>
      </w:r>
      <w:r>
        <w:t xml:space="preserve"> arz ederiz.</w:t>
      </w:r>
    </w:p>
    <w:p w:rsidR="009F6020" w:rsidRDefault="0020047E">
      <w:r>
        <w:rPr>
          <w:i/>
        </w:rPr>
        <w:t>Saygılarımızla,</w:t>
      </w:r>
    </w:p>
    <w:p w:rsidR="009F6020" w:rsidRDefault="0020047E">
      <w:r>
        <w:rPr>
          <w:b/>
        </w:rPr>
        <w:t>[Dernek / Kulüp adı] adına</w:t>
      </w:r>
    </w:p>
    <w:p w:rsidR="009F6020" w:rsidRDefault="0020047E">
      <w:r>
        <w:t>Ad-Soyad: __________________________ Çağrı İşareti: ______________  Ünvan: ____________________ Tarih: ____________ İmza: ____________</w:t>
      </w:r>
    </w:p>
    <w:p w:rsidR="0051352E" w:rsidRDefault="0051352E">
      <w:pPr>
        <w:rPr>
          <w:b/>
          <w:bCs/>
          <w:color w:val="2E75B6"/>
          <w:sz w:val="23"/>
          <w:szCs w:val="23"/>
        </w:rPr>
      </w:pPr>
      <w:r>
        <w:br w:type="page"/>
      </w:r>
    </w:p>
    <w:p w:rsidR="009F6020" w:rsidRDefault="0020047E">
      <w:pPr>
        <w:pStyle w:val="Heading20"/>
      </w:pPr>
      <w:r>
        <w:lastRenderedPageBreak/>
        <w:t>Taslak 12 — BTK ve T.C. Adalet Bakanlığı</w:t>
      </w:r>
    </w:p>
    <w:p w:rsidR="009F6020" w:rsidRPr="00105C83" w:rsidRDefault="0020047E">
      <w:pPr>
        <w:rPr>
          <w:b/>
        </w:rPr>
      </w:pPr>
      <w:r w:rsidRPr="00105C83">
        <w:rPr>
          <w:b/>
        </w:rPr>
        <w:t>T.C. Bilgi Teknolojileri</w:t>
      </w:r>
      <w:r w:rsidRPr="00105C83">
        <w:rPr>
          <w:b/>
        </w:rPr>
        <w:t xml:space="preserve"> ve İletişim Kurumu (BTK) ve T.C. Adalet Bakanlığı</w:t>
      </w:r>
    </w:p>
    <w:p w:rsidR="009F6020" w:rsidRDefault="0020047E">
      <w:r w:rsidRPr="00105C83">
        <w:rPr>
          <w:b/>
        </w:rPr>
        <w:t>Konu:</w:t>
      </w:r>
      <w:r>
        <w:t xml:space="preserve"> Amatör telsiz cihazlarının kanal/tarama hafızasındaki frekans kayıtlarının teknik niteliği ve delil takdiri</w:t>
      </w:r>
    </w:p>
    <w:p w:rsidR="009F6020" w:rsidRDefault="0020047E">
      <w:r>
        <w:t>İlgili gri alan(lar): GA-RX/Kanal</w:t>
      </w:r>
    </w:p>
    <w:p w:rsidR="009F6020" w:rsidRDefault="0020047E">
      <w:r>
        <w:t>Sayın Yetkili,</w:t>
      </w:r>
    </w:p>
    <w:p w:rsidR="009F6020" w:rsidRDefault="0020047E">
      <w:r>
        <w:t>Frekans çevik (frequency-agile) amatör tel</w:t>
      </w:r>
      <w:r>
        <w:t>siz cihazları, tarama ve kanal hafızası özellikleriyle çok sayıda frekansı kayıtlı tutabilir; bu, cihazların olağan ve meşru bir teknik özelliğidir. Ancak CMK Md.134 kapsamında el konulan bir cihazın hafızasında güvenlik veya askerî frekansların bulunması,</w:t>
      </w:r>
      <w:r>
        <w:t xml:space="preserve"> kimi durumlarda 'kasıtlı ve hukuka aykırı izleme hazırlığı' biçiminde yorumlanabilmektedir. Oysa anlık tarama ile hafızaya kayıt teknik olarak aynı izi bırakır; salt bir frekansın kayıtlı olması başlı başına hukuka aykırı dinleme kastını göstermez. Meşru </w:t>
      </w:r>
      <w:r>
        <w:t>teknik yapılandırma ile suç kastını ayırmaya yönelik yayımlanmış bir teknik/hukuki açıklama bulunmamaktadır. Bu belirsizlik, belgeli amatör telsizciler için öngörülemeyen bir hukuki risk oluşturmaktadır.</w:t>
      </w:r>
    </w:p>
    <w:p w:rsidR="009F6020" w:rsidRDefault="0020047E">
      <w:r>
        <w:t>Bu çerçevede Kurumlarınızdan talebimiz:</w:t>
      </w:r>
    </w:p>
    <w:p w:rsidR="009F6020" w:rsidRDefault="0020047E">
      <w:r>
        <w:t>1. (BTK) Kan</w:t>
      </w:r>
      <w:r>
        <w:t>al ve tarama hafızasının amatör/profesyonel telsiz cihazlarının olağan teknik özelliği olduğunu; salt frekans kaydının başlı başına hukuka aykırı izleme kastı oluşturmadığını açıklayan teknik bir görüş/rehber yayımlanması.</w:t>
      </w:r>
    </w:p>
    <w:p w:rsidR="009F6020" w:rsidRDefault="0020047E">
      <w:r>
        <w:t xml:space="preserve">2. (Adalet Bakanlığı) Cihaz </w:t>
      </w:r>
      <w:r>
        <w:t>hafızasındaki frekans kayıtlarının, tek başına suç kastı delili olarak değil teknik yapılandırma olarak değerlendirilmesi gerektiğine ilişkin bilgilendirme; bu teknik gerçeğin adli süreçlerde gözetilmesinin sağlanması.</w:t>
      </w:r>
    </w:p>
    <w:p w:rsidR="009F6020" w:rsidRDefault="0020047E">
      <w:r>
        <w:t>3. Amatör telsizcilere yönelik 'freka</w:t>
      </w:r>
      <w:r>
        <w:t>ns hijyeni' iyi uygulama çerçevesinin resmî bir teknik kaynakla desteklenmesi.</w:t>
      </w:r>
    </w:p>
    <w:p w:rsidR="009F6020" w:rsidRDefault="0020047E">
      <w:r>
        <w:t>Gereğinin değerlendirilmesini bilgilerinize saygıyla arz ederiz.</w:t>
      </w:r>
    </w:p>
    <w:p w:rsidR="009F6020" w:rsidRDefault="0020047E">
      <w:r>
        <w:t>Saygılarımızla,</w:t>
      </w:r>
    </w:p>
    <w:p w:rsidR="009F6020" w:rsidRPr="00105C83" w:rsidRDefault="0020047E">
      <w:pPr>
        <w:rPr>
          <w:b/>
        </w:rPr>
      </w:pPr>
      <w:r w:rsidRPr="00105C83">
        <w:rPr>
          <w:b/>
        </w:rPr>
        <w:t>[Dernek / Kulüp adı] adına</w:t>
      </w:r>
    </w:p>
    <w:p w:rsidR="009F6020" w:rsidRDefault="0020047E">
      <w:r>
        <w:t xml:space="preserve">Ad-Soyad: __________________________     Çağrı İşareti: </w:t>
      </w:r>
      <w:r>
        <w:t>______________</w:t>
      </w:r>
    </w:p>
    <w:p w:rsidR="009F6020" w:rsidRDefault="0020047E">
      <w:r>
        <w:t>Ünvan: ____________________     Tarih: ____________     İmza: ____________</w:t>
      </w:r>
    </w:p>
    <w:p w:rsidR="009F6020" w:rsidRDefault="0020047E">
      <w:r>
        <w:rPr>
          <w:i/>
        </w:rPr>
        <w:t>Not: IARU Bölge 1 Türkiye üyesi kuruluş TRAC'tır (bilgi amaçlı; bu belge herhangi bir derneğe rol atfetmez).</w:t>
      </w:r>
    </w:p>
    <w:sectPr w:rsidR="009F6020" w:rsidSect="005C0D8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47E" w:rsidRDefault="0020047E" w:rsidP="005C0D87">
      <w:r>
        <w:separator/>
      </w:r>
    </w:p>
  </w:endnote>
  <w:endnote w:type="continuationSeparator" w:id="1">
    <w:p w:rsidR="0020047E" w:rsidRDefault="0020047E" w:rsidP="005C0D8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D87" w:rsidRDefault="00914645">
    <w:pPr>
      <w:jc w:val="center"/>
    </w:pPr>
    <w:r>
      <w:rPr>
        <w:color w:val="888888"/>
        <w:sz w:val="16"/>
        <w:szCs w:val="16"/>
      </w:rPr>
      <w:t xml:space="preserve">Amatör Telsizcilik — Tablo B · Kurumlara Talep Yazıları · Sayfa </w:t>
    </w:r>
    <w:r w:rsidR="009F6020">
      <w:rPr>
        <w:color w:val="888888"/>
        <w:sz w:val="16"/>
        <w:szCs w:val="16"/>
      </w:rPr>
      <w:fldChar w:fldCharType="begin"/>
    </w:r>
    <w:r>
      <w:rPr>
        <w:color w:val="888888"/>
        <w:sz w:val="16"/>
        <w:szCs w:val="16"/>
      </w:rPr>
      <w:instrText>PAGE</w:instrText>
    </w:r>
    <w:r w:rsidR="009F6020">
      <w:rPr>
        <w:color w:val="888888"/>
        <w:sz w:val="16"/>
        <w:szCs w:val="16"/>
      </w:rPr>
      <w:fldChar w:fldCharType="separate"/>
    </w:r>
    <w:r w:rsidR="002733D9">
      <w:rPr>
        <w:noProof/>
        <w:color w:val="888888"/>
        <w:sz w:val="16"/>
        <w:szCs w:val="16"/>
      </w:rPr>
      <w:t>2</w:t>
    </w:r>
    <w:r w:rsidR="009F6020">
      <w:rPr>
        <w:color w:val="888888"/>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47E" w:rsidRDefault="0020047E" w:rsidP="005C0D87">
      <w:r>
        <w:separator/>
      </w:r>
    </w:p>
  </w:footnote>
  <w:footnote w:type="continuationSeparator" w:id="1">
    <w:p w:rsidR="0020047E" w:rsidRDefault="0020047E" w:rsidP="005C0D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020" w:rsidRDefault="009F602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0539"/>
    <w:multiLevelType w:val="hybridMultilevel"/>
    <w:tmpl w:val="F2483A8C"/>
    <w:lvl w:ilvl="0" w:tplc="6F08211C">
      <w:start w:val="1"/>
      <w:numFmt w:val="decimal"/>
      <w:lvlText w:val="%1."/>
      <w:lvlJc w:val="left"/>
      <w:pPr>
        <w:ind w:left="620" w:hanging="320"/>
      </w:pPr>
    </w:lvl>
    <w:lvl w:ilvl="1" w:tplc="785E2D5A">
      <w:numFmt w:val="decimal"/>
      <w:lvlText w:val=""/>
      <w:lvlJc w:val="left"/>
    </w:lvl>
    <w:lvl w:ilvl="2" w:tplc="3C92300C">
      <w:numFmt w:val="decimal"/>
      <w:lvlText w:val=""/>
      <w:lvlJc w:val="left"/>
    </w:lvl>
    <w:lvl w:ilvl="3" w:tplc="852EAE76">
      <w:numFmt w:val="decimal"/>
      <w:lvlText w:val=""/>
      <w:lvlJc w:val="left"/>
    </w:lvl>
    <w:lvl w:ilvl="4" w:tplc="718EF040">
      <w:numFmt w:val="decimal"/>
      <w:lvlText w:val=""/>
      <w:lvlJc w:val="left"/>
    </w:lvl>
    <w:lvl w:ilvl="5" w:tplc="669AB2A6">
      <w:numFmt w:val="decimal"/>
      <w:lvlText w:val=""/>
      <w:lvlJc w:val="left"/>
    </w:lvl>
    <w:lvl w:ilvl="6" w:tplc="0A86F2C0">
      <w:numFmt w:val="decimal"/>
      <w:lvlText w:val=""/>
      <w:lvlJc w:val="left"/>
    </w:lvl>
    <w:lvl w:ilvl="7" w:tplc="392A4F8A">
      <w:numFmt w:val="decimal"/>
      <w:lvlText w:val=""/>
      <w:lvlJc w:val="left"/>
    </w:lvl>
    <w:lvl w:ilvl="8" w:tplc="DCD68D26">
      <w:numFmt w:val="decimal"/>
      <w:lvlText w:val=""/>
      <w:lvlJc w:val="left"/>
    </w:lvl>
  </w:abstractNum>
  <w:abstractNum w:abstractNumId="1">
    <w:nsid w:val="1C633851"/>
    <w:multiLevelType w:val="hybridMultilevel"/>
    <w:tmpl w:val="9B34B55A"/>
    <w:lvl w:ilvl="0" w:tplc="F2540954">
      <w:start w:val="1"/>
      <w:numFmt w:val="decimal"/>
      <w:lvlText w:val="%1."/>
      <w:lvlJc w:val="left"/>
      <w:pPr>
        <w:ind w:left="620" w:hanging="320"/>
      </w:pPr>
    </w:lvl>
    <w:lvl w:ilvl="1" w:tplc="60CA9C4E">
      <w:numFmt w:val="decimal"/>
      <w:lvlText w:val=""/>
      <w:lvlJc w:val="left"/>
    </w:lvl>
    <w:lvl w:ilvl="2" w:tplc="D8DE44DC">
      <w:numFmt w:val="decimal"/>
      <w:lvlText w:val=""/>
      <w:lvlJc w:val="left"/>
    </w:lvl>
    <w:lvl w:ilvl="3" w:tplc="154437B4">
      <w:numFmt w:val="decimal"/>
      <w:lvlText w:val=""/>
      <w:lvlJc w:val="left"/>
    </w:lvl>
    <w:lvl w:ilvl="4" w:tplc="3C4C79A8">
      <w:numFmt w:val="decimal"/>
      <w:lvlText w:val=""/>
      <w:lvlJc w:val="left"/>
    </w:lvl>
    <w:lvl w:ilvl="5" w:tplc="9AEE471A">
      <w:numFmt w:val="decimal"/>
      <w:lvlText w:val=""/>
      <w:lvlJc w:val="left"/>
    </w:lvl>
    <w:lvl w:ilvl="6" w:tplc="1EA613B4">
      <w:numFmt w:val="decimal"/>
      <w:lvlText w:val=""/>
      <w:lvlJc w:val="left"/>
    </w:lvl>
    <w:lvl w:ilvl="7" w:tplc="3A46D9D8">
      <w:numFmt w:val="decimal"/>
      <w:lvlText w:val=""/>
      <w:lvlJc w:val="left"/>
    </w:lvl>
    <w:lvl w:ilvl="8" w:tplc="E41A5A74">
      <w:numFmt w:val="decimal"/>
      <w:lvlText w:val=""/>
      <w:lvlJc w:val="left"/>
    </w:lvl>
  </w:abstractNum>
  <w:abstractNum w:abstractNumId="2">
    <w:nsid w:val="235354CD"/>
    <w:multiLevelType w:val="hybridMultilevel"/>
    <w:tmpl w:val="379A673C"/>
    <w:lvl w:ilvl="0" w:tplc="F0C6A6E4">
      <w:start w:val="1"/>
      <w:numFmt w:val="bullet"/>
      <w:lvlText w:val="●"/>
      <w:lvlJc w:val="left"/>
      <w:pPr>
        <w:ind w:left="720" w:hanging="360"/>
      </w:pPr>
    </w:lvl>
    <w:lvl w:ilvl="1" w:tplc="020849A6">
      <w:start w:val="1"/>
      <w:numFmt w:val="bullet"/>
      <w:lvlText w:val="○"/>
      <w:lvlJc w:val="left"/>
      <w:pPr>
        <w:ind w:left="1440" w:hanging="360"/>
      </w:pPr>
    </w:lvl>
    <w:lvl w:ilvl="2" w:tplc="B4D4A3A0">
      <w:start w:val="1"/>
      <w:numFmt w:val="bullet"/>
      <w:lvlText w:val="■"/>
      <w:lvlJc w:val="left"/>
      <w:pPr>
        <w:ind w:left="2160" w:hanging="360"/>
      </w:pPr>
    </w:lvl>
    <w:lvl w:ilvl="3" w:tplc="D898E828">
      <w:start w:val="1"/>
      <w:numFmt w:val="bullet"/>
      <w:lvlText w:val="●"/>
      <w:lvlJc w:val="left"/>
      <w:pPr>
        <w:ind w:left="2880" w:hanging="360"/>
      </w:pPr>
    </w:lvl>
    <w:lvl w:ilvl="4" w:tplc="DB7CBFBC">
      <w:start w:val="1"/>
      <w:numFmt w:val="bullet"/>
      <w:lvlText w:val="○"/>
      <w:lvlJc w:val="left"/>
      <w:pPr>
        <w:ind w:left="3600" w:hanging="360"/>
      </w:pPr>
    </w:lvl>
    <w:lvl w:ilvl="5" w:tplc="0060B924">
      <w:start w:val="1"/>
      <w:numFmt w:val="bullet"/>
      <w:lvlText w:val="■"/>
      <w:lvlJc w:val="left"/>
      <w:pPr>
        <w:ind w:left="4320" w:hanging="360"/>
      </w:pPr>
    </w:lvl>
    <w:lvl w:ilvl="6" w:tplc="249E0436">
      <w:start w:val="1"/>
      <w:numFmt w:val="bullet"/>
      <w:lvlText w:val="●"/>
      <w:lvlJc w:val="left"/>
      <w:pPr>
        <w:ind w:left="5040" w:hanging="360"/>
      </w:pPr>
    </w:lvl>
    <w:lvl w:ilvl="7" w:tplc="DAB4ACC6">
      <w:start w:val="1"/>
      <w:numFmt w:val="bullet"/>
      <w:lvlText w:val="●"/>
      <w:lvlJc w:val="left"/>
      <w:pPr>
        <w:ind w:left="5760" w:hanging="360"/>
      </w:pPr>
    </w:lvl>
    <w:lvl w:ilvl="8" w:tplc="CC36D5C6">
      <w:start w:val="1"/>
      <w:numFmt w:val="bullet"/>
      <w:lvlText w:val="●"/>
      <w:lvlJc w:val="left"/>
      <w:pPr>
        <w:ind w:left="6480" w:hanging="360"/>
      </w:pPr>
    </w:lvl>
  </w:abstractNum>
  <w:abstractNum w:abstractNumId="3">
    <w:nsid w:val="2D1E224F"/>
    <w:multiLevelType w:val="hybridMultilevel"/>
    <w:tmpl w:val="F4423F42"/>
    <w:lvl w:ilvl="0" w:tplc="5A3E83E6">
      <w:start w:val="1"/>
      <w:numFmt w:val="decimal"/>
      <w:lvlText w:val="%1."/>
      <w:lvlJc w:val="left"/>
      <w:pPr>
        <w:ind w:left="620" w:hanging="320"/>
      </w:pPr>
    </w:lvl>
    <w:lvl w:ilvl="1" w:tplc="A7A4E65A">
      <w:numFmt w:val="decimal"/>
      <w:lvlText w:val=""/>
      <w:lvlJc w:val="left"/>
    </w:lvl>
    <w:lvl w:ilvl="2" w:tplc="AFA60A3E">
      <w:numFmt w:val="decimal"/>
      <w:lvlText w:val=""/>
      <w:lvlJc w:val="left"/>
    </w:lvl>
    <w:lvl w:ilvl="3" w:tplc="5F047C28">
      <w:numFmt w:val="decimal"/>
      <w:lvlText w:val=""/>
      <w:lvlJc w:val="left"/>
    </w:lvl>
    <w:lvl w:ilvl="4" w:tplc="A8D20A52">
      <w:numFmt w:val="decimal"/>
      <w:lvlText w:val=""/>
      <w:lvlJc w:val="left"/>
    </w:lvl>
    <w:lvl w:ilvl="5" w:tplc="33406F8E">
      <w:numFmt w:val="decimal"/>
      <w:lvlText w:val=""/>
      <w:lvlJc w:val="left"/>
    </w:lvl>
    <w:lvl w:ilvl="6" w:tplc="1AAA3792">
      <w:numFmt w:val="decimal"/>
      <w:lvlText w:val=""/>
      <w:lvlJc w:val="left"/>
    </w:lvl>
    <w:lvl w:ilvl="7" w:tplc="3C505554">
      <w:numFmt w:val="decimal"/>
      <w:lvlText w:val=""/>
      <w:lvlJc w:val="left"/>
    </w:lvl>
    <w:lvl w:ilvl="8" w:tplc="CA84E342">
      <w:numFmt w:val="decimal"/>
      <w:lvlText w:val=""/>
      <w:lvlJc w:val="left"/>
    </w:lvl>
  </w:abstractNum>
  <w:abstractNum w:abstractNumId="4">
    <w:nsid w:val="2DC11174"/>
    <w:multiLevelType w:val="hybridMultilevel"/>
    <w:tmpl w:val="7A2EC550"/>
    <w:lvl w:ilvl="0" w:tplc="07CC8E02">
      <w:start w:val="1"/>
      <w:numFmt w:val="decimal"/>
      <w:lvlText w:val="%1."/>
      <w:lvlJc w:val="left"/>
      <w:pPr>
        <w:ind w:left="620" w:hanging="320"/>
      </w:pPr>
    </w:lvl>
    <w:lvl w:ilvl="1" w:tplc="5058C490">
      <w:numFmt w:val="decimal"/>
      <w:lvlText w:val=""/>
      <w:lvlJc w:val="left"/>
    </w:lvl>
    <w:lvl w:ilvl="2" w:tplc="4EEAE80E">
      <w:numFmt w:val="decimal"/>
      <w:lvlText w:val=""/>
      <w:lvlJc w:val="left"/>
    </w:lvl>
    <w:lvl w:ilvl="3" w:tplc="EF1C9468">
      <w:numFmt w:val="decimal"/>
      <w:lvlText w:val=""/>
      <w:lvlJc w:val="left"/>
    </w:lvl>
    <w:lvl w:ilvl="4" w:tplc="D38A0E76">
      <w:numFmt w:val="decimal"/>
      <w:lvlText w:val=""/>
      <w:lvlJc w:val="left"/>
    </w:lvl>
    <w:lvl w:ilvl="5" w:tplc="2480B2EA">
      <w:numFmt w:val="decimal"/>
      <w:lvlText w:val=""/>
      <w:lvlJc w:val="left"/>
    </w:lvl>
    <w:lvl w:ilvl="6" w:tplc="70725ECE">
      <w:numFmt w:val="decimal"/>
      <w:lvlText w:val=""/>
      <w:lvlJc w:val="left"/>
    </w:lvl>
    <w:lvl w:ilvl="7" w:tplc="7E9206B6">
      <w:numFmt w:val="decimal"/>
      <w:lvlText w:val=""/>
      <w:lvlJc w:val="left"/>
    </w:lvl>
    <w:lvl w:ilvl="8" w:tplc="F5DE0326">
      <w:numFmt w:val="decimal"/>
      <w:lvlText w:val=""/>
      <w:lvlJc w:val="left"/>
    </w:lvl>
  </w:abstractNum>
  <w:abstractNum w:abstractNumId="5">
    <w:nsid w:val="43B83315"/>
    <w:multiLevelType w:val="hybridMultilevel"/>
    <w:tmpl w:val="CE7019DA"/>
    <w:lvl w:ilvl="0" w:tplc="12EA0E22">
      <w:start w:val="1"/>
      <w:numFmt w:val="decimal"/>
      <w:lvlText w:val="%1."/>
      <w:lvlJc w:val="left"/>
      <w:pPr>
        <w:ind w:left="620" w:hanging="320"/>
      </w:pPr>
    </w:lvl>
    <w:lvl w:ilvl="1" w:tplc="97CAA99C">
      <w:numFmt w:val="decimal"/>
      <w:lvlText w:val=""/>
      <w:lvlJc w:val="left"/>
    </w:lvl>
    <w:lvl w:ilvl="2" w:tplc="3398C8BE">
      <w:numFmt w:val="decimal"/>
      <w:lvlText w:val=""/>
      <w:lvlJc w:val="left"/>
    </w:lvl>
    <w:lvl w:ilvl="3" w:tplc="AA84273A">
      <w:numFmt w:val="decimal"/>
      <w:lvlText w:val=""/>
      <w:lvlJc w:val="left"/>
    </w:lvl>
    <w:lvl w:ilvl="4" w:tplc="604245CE">
      <w:numFmt w:val="decimal"/>
      <w:lvlText w:val=""/>
      <w:lvlJc w:val="left"/>
    </w:lvl>
    <w:lvl w:ilvl="5" w:tplc="3FBA1260">
      <w:numFmt w:val="decimal"/>
      <w:lvlText w:val=""/>
      <w:lvlJc w:val="left"/>
    </w:lvl>
    <w:lvl w:ilvl="6" w:tplc="718A1372">
      <w:numFmt w:val="decimal"/>
      <w:lvlText w:val=""/>
      <w:lvlJc w:val="left"/>
    </w:lvl>
    <w:lvl w:ilvl="7" w:tplc="57ACBF5C">
      <w:numFmt w:val="decimal"/>
      <w:lvlText w:val=""/>
      <w:lvlJc w:val="left"/>
    </w:lvl>
    <w:lvl w:ilvl="8" w:tplc="A65ECD9A">
      <w:numFmt w:val="decimal"/>
      <w:lvlText w:val=""/>
      <w:lvlJc w:val="left"/>
    </w:lvl>
  </w:abstractNum>
  <w:abstractNum w:abstractNumId="6">
    <w:nsid w:val="46BA082B"/>
    <w:multiLevelType w:val="hybridMultilevel"/>
    <w:tmpl w:val="1854917A"/>
    <w:lvl w:ilvl="0" w:tplc="A34C3E40">
      <w:start w:val="1"/>
      <w:numFmt w:val="decimal"/>
      <w:lvlText w:val="%1."/>
      <w:lvlJc w:val="left"/>
      <w:pPr>
        <w:ind w:left="620" w:hanging="320"/>
      </w:pPr>
    </w:lvl>
    <w:lvl w:ilvl="1" w:tplc="81807308">
      <w:numFmt w:val="decimal"/>
      <w:lvlText w:val=""/>
      <w:lvlJc w:val="left"/>
    </w:lvl>
    <w:lvl w:ilvl="2" w:tplc="76B43F5E">
      <w:numFmt w:val="decimal"/>
      <w:lvlText w:val=""/>
      <w:lvlJc w:val="left"/>
    </w:lvl>
    <w:lvl w:ilvl="3" w:tplc="5C1282B4">
      <w:numFmt w:val="decimal"/>
      <w:lvlText w:val=""/>
      <w:lvlJc w:val="left"/>
    </w:lvl>
    <w:lvl w:ilvl="4" w:tplc="AFCCACBE">
      <w:numFmt w:val="decimal"/>
      <w:lvlText w:val=""/>
      <w:lvlJc w:val="left"/>
    </w:lvl>
    <w:lvl w:ilvl="5" w:tplc="AB602A54">
      <w:numFmt w:val="decimal"/>
      <w:lvlText w:val=""/>
      <w:lvlJc w:val="left"/>
    </w:lvl>
    <w:lvl w:ilvl="6" w:tplc="59847C0E">
      <w:numFmt w:val="decimal"/>
      <w:lvlText w:val=""/>
      <w:lvlJc w:val="left"/>
    </w:lvl>
    <w:lvl w:ilvl="7" w:tplc="B71E9188">
      <w:numFmt w:val="decimal"/>
      <w:lvlText w:val=""/>
      <w:lvlJc w:val="left"/>
    </w:lvl>
    <w:lvl w:ilvl="8" w:tplc="91C0F960">
      <w:numFmt w:val="decimal"/>
      <w:lvlText w:val=""/>
      <w:lvlJc w:val="left"/>
    </w:lvl>
  </w:abstractNum>
  <w:abstractNum w:abstractNumId="7">
    <w:nsid w:val="497849F9"/>
    <w:multiLevelType w:val="hybridMultilevel"/>
    <w:tmpl w:val="4BCE8FDC"/>
    <w:lvl w:ilvl="0" w:tplc="51BABCD4">
      <w:start w:val="1"/>
      <w:numFmt w:val="decimal"/>
      <w:lvlText w:val="%1."/>
      <w:lvlJc w:val="left"/>
      <w:pPr>
        <w:ind w:left="620" w:hanging="320"/>
      </w:pPr>
    </w:lvl>
    <w:lvl w:ilvl="1" w:tplc="A3269A4A">
      <w:numFmt w:val="decimal"/>
      <w:lvlText w:val=""/>
      <w:lvlJc w:val="left"/>
    </w:lvl>
    <w:lvl w:ilvl="2" w:tplc="94529DF6">
      <w:numFmt w:val="decimal"/>
      <w:lvlText w:val=""/>
      <w:lvlJc w:val="left"/>
    </w:lvl>
    <w:lvl w:ilvl="3" w:tplc="590EFA7A">
      <w:numFmt w:val="decimal"/>
      <w:lvlText w:val=""/>
      <w:lvlJc w:val="left"/>
    </w:lvl>
    <w:lvl w:ilvl="4" w:tplc="C97AC82E">
      <w:numFmt w:val="decimal"/>
      <w:lvlText w:val=""/>
      <w:lvlJc w:val="left"/>
    </w:lvl>
    <w:lvl w:ilvl="5" w:tplc="37564E66">
      <w:numFmt w:val="decimal"/>
      <w:lvlText w:val=""/>
      <w:lvlJc w:val="left"/>
    </w:lvl>
    <w:lvl w:ilvl="6" w:tplc="1EEE1992">
      <w:numFmt w:val="decimal"/>
      <w:lvlText w:val=""/>
      <w:lvlJc w:val="left"/>
    </w:lvl>
    <w:lvl w:ilvl="7" w:tplc="6942A1DC">
      <w:numFmt w:val="decimal"/>
      <w:lvlText w:val=""/>
      <w:lvlJc w:val="left"/>
    </w:lvl>
    <w:lvl w:ilvl="8" w:tplc="0F161206">
      <w:numFmt w:val="decimal"/>
      <w:lvlText w:val=""/>
      <w:lvlJc w:val="left"/>
    </w:lvl>
  </w:abstractNum>
  <w:abstractNum w:abstractNumId="8">
    <w:nsid w:val="67D06DE9"/>
    <w:multiLevelType w:val="hybridMultilevel"/>
    <w:tmpl w:val="C812DF9C"/>
    <w:lvl w:ilvl="0" w:tplc="FEF6CAB0">
      <w:start w:val="1"/>
      <w:numFmt w:val="decimal"/>
      <w:lvlText w:val="%1."/>
      <w:lvlJc w:val="left"/>
      <w:pPr>
        <w:ind w:left="620" w:hanging="320"/>
      </w:pPr>
    </w:lvl>
    <w:lvl w:ilvl="1" w:tplc="4C70C814">
      <w:numFmt w:val="decimal"/>
      <w:lvlText w:val=""/>
      <w:lvlJc w:val="left"/>
    </w:lvl>
    <w:lvl w:ilvl="2" w:tplc="36DC22B2">
      <w:numFmt w:val="decimal"/>
      <w:lvlText w:val=""/>
      <w:lvlJc w:val="left"/>
    </w:lvl>
    <w:lvl w:ilvl="3" w:tplc="6D9C8B9A">
      <w:numFmt w:val="decimal"/>
      <w:lvlText w:val=""/>
      <w:lvlJc w:val="left"/>
    </w:lvl>
    <w:lvl w:ilvl="4" w:tplc="F8F0D042">
      <w:numFmt w:val="decimal"/>
      <w:lvlText w:val=""/>
      <w:lvlJc w:val="left"/>
    </w:lvl>
    <w:lvl w:ilvl="5" w:tplc="EDFECF04">
      <w:numFmt w:val="decimal"/>
      <w:lvlText w:val=""/>
      <w:lvlJc w:val="left"/>
    </w:lvl>
    <w:lvl w:ilvl="6" w:tplc="777AEA24">
      <w:numFmt w:val="decimal"/>
      <w:lvlText w:val=""/>
      <w:lvlJc w:val="left"/>
    </w:lvl>
    <w:lvl w:ilvl="7" w:tplc="FEACC7E6">
      <w:numFmt w:val="decimal"/>
      <w:lvlText w:val=""/>
      <w:lvlJc w:val="left"/>
    </w:lvl>
    <w:lvl w:ilvl="8" w:tplc="78AA75D8">
      <w:numFmt w:val="decimal"/>
      <w:lvlText w:val=""/>
      <w:lvlJc w:val="left"/>
    </w:lvl>
  </w:abstractNum>
  <w:num w:numId="1">
    <w:abstractNumId w:val="2"/>
    <w:lvlOverride w:ilvl="0">
      <w:startOverride w:val="1"/>
    </w:lvlOverride>
  </w:num>
  <w:num w:numId="2">
    <w:abstractNumId w:val="6"/>
    <w:lvlOverride w:ilvl="0">
      <w:startOverride w:val="1"/>
    </w:lvlOverride>
  </w:num>
  <w:num w:numId="3">
    <w:abstractNumId w:val="4"/>
    <w:lvlOverride w:ilvl="0">
      <w:startOverride w:val="1"/>
    </w:lvlOverride>
  </w:num>
  <w:num w:numId="4">
    <w:abstractNumId w:val="1"/>
    <w:lvlOverride w:ilvl="0">
      <w:startOverride w:val="1"/>
    </w:lvlOverride>
  </w:num>
  <w:num w:numId="5">
    <w:abstractNumId w:val="7"/>
    <w:lvlOverride w:ilvl="0">
      <w:startOverride w:val="1"/>
    </w:lvlOverride>
  </w:num>
  <w:num w:numId="6">
    <w:abstractNumId w:val="8"/>
    <w:lvlOverride w:ilvl="0">
      <w:startOverride w:val="1"/>
    </w:lvlOverride>
  </w:num>
  <w:num w:numId="7">
    <w:abstractNumId w:val="3"/>
    <w:lvlOverride w:ilvl="0">
      <w:startOverride w:val="1"/>
    </w:lvlOverride>
  </w:num>
  <w:num w:numId="8">
    <w:abstractNumId w:val="0"/>
    <w:lvlOverride w:ilvl="0">
      <w:startOverride w:val="1"/>
    </w:lvlOverride>
  </w:num>
  <w:num w:numId="9">
    <w:abstractNumId w:val="5"/>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08"/>
  <w:hyphenationZone w:val="425"/>
  <w:characterSpacingControl w:val="doNotCompress"/>
  <w:footnotePr>
    <w:footnote w:id="0"/>
    <w:footnote w:id="1"/>
  </w:footnotePr>
  <w:endnotePr>
    <w:endnote w:id="0"/>
    <w:endnote w:id="1"/>
  </w:endnotePr>
  <w:compat/>
  <w:rsids>
    <w:rsidRoot w:val="005C0D87"/>
    <w:rsid w:val="00105C83"/>
    <w:rsid w:val="0020047E"/>
    <w:rsid w:val="002733D9"/>
    <w:rsid w:val="00331EA2"/>
    <w:rsid w:val="0051352E"/>
    <w:rsid w:val="005C0D87"/>
    <w:rsid w:val="00914645"/>
    <w:rsid w:val="009F6020"/>
    <w:rsid w:val="00DD4A2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1"/>
        <w:szCs w:val="21"/>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02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sid w:val="005C0D87"/>
    <w:rPr>
      <w:sz w:val="56"/>
      <w:szCs w:val="56"/>
    </w:rPr>
  </w:style>
  <w:style w:type="paragraph" w:customStyle="1" w:styleId="Heading1">
    <w:name w:val="Heading 1"/>
    <w:qFormat/>
    <w:rsid w:val="005C0D87"/>
    <w:rPr>
      <w:color w:val="2E74B5"/>
      <w:sz w:val="32"/>
      <w:szCs w:val="32"/>
    </w:rPr>
  </w:style>
  <w:style w:type="paragraph" w:customStyle="1" w:styleId="Heading2">
    <w:name w:val="Heading 2"/>
    <w:qFormat/>
    <w:rsid w:val="005C0D87"/>
    <w:rPr>
      <w:color w:val="2E74B5"/>
      <w:sz w:val="26"/>
      <w:szCs w:val="26"/>
    </w:rPr>
  </w:style>
  <w:style w:type="paragraph" w:customStyle="1" w:styleId="Heading3">
    <w:name w:val="Heading 3"/>
    <w:qFormat/>
    <w:rsid w:val="005C0D87"/>
    <w:rPr>
      <w:color w:val="1F4D78"/>
      <w:sz w:val="24"/>
      <w:szCs w:val="24"/>
    </w:rPr>
  </w:style>
  <w:style w:type="paragraph" w:customStyle="1" w:styleId="Heading4">
    <w:name w:val="Heading 4"/>
    <w:qFormat/>
    <w:rsid w:val="005C0D87"/>
    <w:rPr>
      <w:i/>
      <w:iCs/>
      <w:color w:val="2E74B5"/>
    </w:rPr>
  </w:style>
  <w:style w:type="paragraph" w:customStyle="1" w:styleId="Heading5">
    <w:name w:val="Heading 5"/>
    <w:qFormat/>
    <w:rsid w:val="005C0D87"/>
    <w:rPr>
      <w:color w:val="2E74B5"/>
    </w:rPr>
  </w:style>
  <w:style w:type="paragraph" w:customStyle="1" w:styleId="Heading6">
    <w:name w:val="Heading 6"/>
    <w:qFormat/>
    <w:rsid w:val="005C0D87"/>
    <w:rPr>
      <w:color w:val="1F4D78"/>
    </w:rPr>
  </w:style>
  <w:style w:type="paragraph" w:customStyle="1" w:styleId="Gl1">
    <w:name w:val="Güçlü1"/>
    <w:qFormat/>
    <w:rsid w:val="005C0D87"/>
    <w:rPr>
      <w:b/>
      <w:bCs/>
    </w:rPr>
  </w:style>
  <w:style w:type="paragraph" w:styleId="ListeParagraf">
    <w:name w:val="List Paragraph"/>
    <w:qFormat/>
    <w:rsid w:val="005C0D87"/>
  </w:style>
  <w:style w:type="character" w:styleId="Kpr">
    <w:name w:val="Hyperlink"/>
    <w:uiPriority w:val="99"/>
    <w:unhideWhenUsed/>
    <w:rsid w:val="005C0D87"/>
    <w:rPr>
      <w:color w:val="0563C1"/>
      <w:u w:val="single"/>
    </w:rPr>
  </w:style>
  <w:style w:type="character" w:styleId="DipnotBavurusu">
    <w:name w:val="footnote reference"/>
    <w:uiPriority w:val="99"/>
    <w:semiHidden/>
    <w:unhideWhenUsed/>
    <w:rsid w:val="005C0D87"/>
    <w:rPr>
      <w:vertAlign w:val="superscript"/>
    </w:rPr>
  </w:style>
  <w:style w:type="paragraph" w:styleId="DipnotMetni">
    <w:name w:val="footnote text"/>
    <w:link w:val="DipnotMetniChar"/>
    <w:uiPriority w:val="99"/>
    <w:semiHidden/>
    <w:unhideWhenUsed/>
    <w:rsid w:val="005C0D87"/>
    <w:rPr>
      <w:sz w:val="20"/>
      <w:szCs w:val="20"/>
    </w:rPr>
  </w:style>
  <w:style w:type="character" w:customStyle="1" w:styleId="DipnotMetniChar">
    <w:name w:val="Dipnot Metni Char"/>
    <w:link w:val="DipnotMetni"/>
    <w:uiPriority w:val="99"/>
    <w:semiHidden/>
    <w:unhideWhenUsed/>
    <w:rsid w:val="005C0D87"/>
    <w:rPr>
      <w:sz w:val="20"/>
      <w:szCs w:val="20"/>
    </w:rPr>
  </w:style>
  <w:style w:type="character" w:styleId="SonnotBavurusu">
    <w:name w:val="endnote reference"/>
    <w:uiPriority w:val="99"/>
    <w:semiHidden/>
    <w:unhideWhenUsed/>
    <w:rsid w:val="005C0D87"/>
    <w:rPr>
      <w:vertAlign w:val="superscript"/>
    </w:rPr>
  </w:style>
  <w:style w:type="paragraph" w:styleId="SonnotMetni">
    <w:name w:val="endnote text"/>
    <w:link w:val="SonnotMetniChar"/>
    <w:uiPriority w:val="99"/>
    <w:semiHidden/>
    <w:unhideWhenUsed/>
    <w:rsid w:val="005C0D87"/>
    <w:rPr>
      <w:sz w:val="20"/>
      <w:szCs w:val="20"/>
    </w:rPr>
  </w:style>
  <w:style w:type="character" w:customStyle="1" w:styleId="SonnotMetniChar">
    <w:name w:val="Sonnot Metni Char"/>
    <w:link w:val="SonnotMetni"/>
    <w:uiPriority w:val="99"/>
    <w:semiHidden/>
    <w:unhideWhenUsed/>
    <w:rsid w:val="005C0D87"/>
    <w:rPr>
      <w:sz w:val="20"/>
      <w:szCs w:val="20"/>
    </w:rPr>
  </w:style>
  <w:style w:type="paragraph" w:customStyle="1" w:styleId="Heading10">
    <w:name w:val="Heading 1"/>
    <w:qFormat/>
    <w:rsid w:val="005C0D87"/>
    <w:pPr>
      <w:pBdr>
        <w:bottom w:val="single" w:sz="6" w:space="2" w:color="2E75B6"/>
      </w:pBdr>
      <w:spacing w:before="240" w:after="160"/>
      <w:outlineLvl w:val="0"/>
    </w:pPr>
    <w:rPr>
      <w:b/>
      <w:bCs/>
      <w:color w:val="1F3864"/>
      <w:sz w:val="30"/>
      <w:szCs w:val="30"/>
    </w:rPr>
  </w:style>
  <w:style w:type="paragraph" w:customStyle="1" w:styleId="Heading20">
    <w:name w:val="Heading 2"/>
    <w:qFormat/>
    <w:rsid w:val="005C0D87"/>
    <w:pPr>
      <w:spacing w:before="200" w:after="120"/>
      <w:outlineLvl w:val="1"/>
    </w:pPr>
    <w:rPr>
      <w:b/>
      <w:bCs/>
      <w:color w:val="2E75B6"/>
      <w:sz w:val="23"/>
      <w:szCs w:val="23"/>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3702</Words>
  <Characters>21102</Characters>
  <Application>Microsoft Office Word</Application>
  <DocSecurity>0</DocSecurity>
  <Lines>175</Lines>
  <Paragraphs>49</Paragraphs>
  <ScaleCrop>false</ScaleCrop>
  <Company>HRD Software, LLC.</Company>
  <LinksUpToDate>false</LinksUpToDate>
  <CharactersWithSpaces>24755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errhan@hotmail.com</cp:lastModifiedBy>
  <cp:revision>5</cp:revision>
  <dcterms:created xsi:type="dcterms:W3CDTF">2026-07-01T19:00:00Z</dcterms:created>
  <dcterms:modified xsi:type="dcterms:W3CDTF">2026-07-26T10:33:00Z</dcterms:modified>
</cp:coreProperties>
</file>