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C16" w:rsidRDefault="00860B60">
      <w:pPr>
        <w:spacing w:before="2880" w:after="240"/>
        <w:jc w:val="center"/>
      </w:pPr>
      <w:r>
        <w:rPr>
          <w:b/>
          <w:bCs/>
          <w:color w:val="1F4E79"/>
          <w:sz w:val="40"/>
          <w:szCs w:val="40"/>
        </w:rPr>
        <w:t>TÜRK AMATÖR TELSİZCİLİ</w:t>
      </w:r>
      <w:r w:rsidR="0070262B">
        <w:rPr>
          <w:b/>
          <w:bCs/>
          <w:color w:val="1F4E79"/>
          <w:sz w:val="40"/>
          <w:szCs w:val="40"/>
        </w:rPr>
        <w:t>Ğİ</w:t>
      </w:r>
    </w:p>
    <w:p w:rsidR="00907C16" w:rsidRDefault="00860B60">
      <w:pPr>
        <w:spacing w:after="120"/>
        <w:jc w:val="center"/>
      </w:pPr>
      <w:r>
        <w:rPr>
          <w:b/>
          <w:bCs/>
          <w:color w:val="1F4E79"/>
          <w:sz w:val="36"/>
          <w:szCs w:val="36"/>
        </w:rPr>
        <w:t>GRİ ALAN VE MEVZUAT UZLAŞI OY PUSULASI</w:t>
      </w:r>
    </w:p>
    <w:p w:rsidR="00907C16" w:rsidRDefault="00860B60">
      <w:pPr>
        <w:spacing w:before="240" w:after="80"/>
        <w:jc w:val="center"/>
      </w:pPr>
      <w:r>
        <w:rPr>
          <w:color w:val="555555"/>
          <w:sz w:val="24"/>
          <w:szCs w:val="24"/>
        </w:rPr>
        <w:t>Toplantı Tarihi: ______________________</w:t>
      </w:r>
    </w:p>
    <w:p w:rsidR="00907C16" w:rsidRDefault="00860B60">
      <w:pPr>
        <w:spacing w:after="80"/>
        <w:jc w:val="center"/>
      </w:pPr>
      <w:r>
        <w:rPr>
          <w:color w:val="555555"/>
          <w:sz w:val="24"/>
          <w:szCs w:val="24"/>
        </w:rPr>
        <w:t>Çağrı İşareti: _____________   İmza: _____________</w:t>
      </w:r>
    </w:p>
    <w:p w:rsidR="00907C16" w:rsidRDefault="00860B60">
      <w:pPr>
        <w:spacing w:after="480"/>
        <w:jc w:val="center"/>
      </w:pPr>
      <w:r>
        <w:rPr>
          <w:color w:val="555555"/>
          <w:sz w:val="24"/>
          <w:szCs w:val="24"/>
        </w:rPr>
        <w:t>Üye Olduğu Kulüp/Dernek: ______________________________</w:t>
      </w:r>
    </w:p>
    <w:p w:rsidR="00907C16" w:rsidRDefault="00860B60">
      <w:pPr>
        <w:pBdr>
          <w:bottom w:val="single" w:sz="6" w:space="0" w:color="1F4E79"/>
        </w:pBdr>
        <w:spacing w:after="120"/>
      </w:pPr>
      <w:r>
        <w:rPr>
          <w:b/>
          <w:bCs/>
          <w:color w:val="1F4E79"/>
          <w:sz w:val="24"/>
          <w:szCs w:val="24"/>
        </w:rPr>
        <w:t>NASIL OY KULLANILIR?</w:t>
      </w:r>
    </w:p>
    <w:p w:rsidR="00907C16" w:rsidRDefault="00860B60">
      <w:pPr>
        <w:spacing w:before="80" w:after="60"/>
      </w:pPr>
      <w:r>
        <w:rPr>
          <w:sz w:val="20"/>
          <w:szCs w:val="20"/>
        </w:rPr>
        <w:t>Her gri alan (GA) için size uygun olan seçeneği işaretleyin. Birden fazla seçenek işaretleyebilirsiniz. 'E — Diğer' kutusuna kendi görüşünüzü yazabilirsiniz. Bu oy pusulası toplantı sonunda toplanacak ve oylar sayılacaktır.</w:t>
      </w:r>
    </w:p>
    <w:p w:rsidR="00907C16" w:rsidRDefault="00860B60">
      <w:pPr>
        <w:spacing w:before="60" w:after="60"/>
      </w:pPr>
      <w:r>
        <w:rPr>
          <w:b/>
          <w:bCs/>
          <w:sz w:val="20"/>
          <w:szCs w:val="20"/>
        </w:rPr>
        <w:t xml:space="preserve">Seçenek anlamları — </w:t>
      </w:r>
      <w:r>
        <w:rPr>
          <w:sz w:val="20"/>
          <w:szCs w:val="20"/>
        </w:rPr>
        <w:t>A: Mevcut durumu koru  |  B: Topluluk öz-düzenlemesi  |  C: Kurumdan yazılı görüş/açıklama talep et  |  D: Mevzuat değişikliği talep et  |  E: Diğer</w:t>
      </w:r>
    </w:p>
    <w:p w:rsidR="00907C16" w:rsidRDefault="00860B60">
      <w:pPr>
        <w:spacing w:after="240"/>
      </w:pPr>
      <w:r>
        <w:rPr>
          <w:i/>
          <w:iCs/>
          <w:color w:val="666666"/>
          <w:sz w:val="18"/>
          <w:szCs w:val="18"/>
        </w:rPr>
        <w:t>Bu belge, yapay zeka çıkarım</w:t>
      </w:r>
      <w:r w:rsidR="00671200">
        <w:rPr>
          <w:i/>
          <w:iCs/>
          <w:color w:val="666666"/>
          <w:sz w:val="18"/>
          <w:szCs w:val="18"/>
        </w:rPr>
        <w:t>ları yerine</w:t>
      </w:r>
      <w:r>
        <w:rPr>
          <w:i/>
          <w:iCs/>
          <w:color w:val="666666"/>
          <w:sz w:val="18"/>
          <w:szCs w:val="18"/>
        </w:rPr>
        <w:t xml:space="preserve"> amatör</w:t>
      </w:r>
      <w:r w:rsidR="00671200">
        <w:rPr>
          <w:i/>
          <w:iCs/>
          <w:color w:val="666666"/>
          <w:sz w:val="18"/>
          <w:szCs w:val="18"/>
        </w:rPr>
        <w:t xml:space="preserve"> telsiz</w:t>
      </w:r>
      <w:r>
        <w:rPr>
          <w:i/>
          <w:iCs/>
          <w:color w:val="666666"/>
          <w:sz w:val="18"/>
          <w:szCs w:val="18"/>
        </w:rPr>
        <w:t xml:space="preserve"> topluluğunun kendi iradesini belirlemesi amacıyla hazırlanmıştır.</w:t>
      </w: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GA-1 — Kapsamlı Tek Amatör Telsizcilik Yönetmeliği ('Part 97 TR')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</w:rPr>
              <w:t>2004'te yayımlanan özel yönetmelik (RG 25406) yürürlükten kaldırıldı; yerine geçen tek çatı düzenleme çıkarılmadı. Haklar en az yedi ayrı mevzuattan derleniyor; sahada belirsizlik doğuruyor.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Mevcut Durumu Koru: Dağınık mevzuat derleme zinciriyle yönetilebilir; yeni yönetmelik hakları daraltma riski taşır, açılmasın.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Topluluk Derlemesi: Dernek ve kulüpler bu çalışma gibi mevzuat derlemelerini güncel tutup camiaya yayar.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Yazılı Görüş Talep Et: BTK'dan amatör telsizciliğe özgü tek yönetmelik planı olup olmadığına dair resmî görüş istenir.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Mevzuat Değişikliği: Kapsamlı tek amatör telsizcilik yönetmeliği ('Part 97 TR') çıkarılması için başvuru yapılır.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</w:tbl>
    <w:p w:rsidR="001732BC" w:rsidRDefault="001732BC"/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GA-3 — CEPT T/R 61-01/61-02: Yurt Dışı Operasyon ve B/C Sınıfı Boşluğu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</w:rPr>
              <w:t>TR, CEPT T/R 61-01 ve 61-02'ye taraftır; A sınıfı, KEGM HAREC belgesiyle yurt dışında çalışabiliyor. B/C sınıfının HAREC muadili yok; yabancı amatörlerin TR'de geçici çalışma usulü mevzuatta tanımsız.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lastRenderedPageBreak/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Mevcut Durumu Koru: A sınıfına geçiş (sınav) zaten açık bir yol; ek düzenleme gerekmez.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Topluluk Kılavuzu: Dernek ve kulüpler 'yurt dışında operasyon / HAREC' kullanım kılavuzu yayımlar.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Yazılı Görüş Talep Et: KEGM / Ulaştırma Bakanlığı'ndan B/C sınıfı için HAREC yolu ve yabancı amatör usulü hakkında görüş istenir.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Mevzuat Değişikliği: CEPT tavsiyelerinin yönetmeliğe işlenmesi ve B/C için kademeli HAREC yolu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</w:tbl>
    <w:p w:rsidR="001732BC" w:rsidRDefault="001732BC"/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GA-RX — Alıcı Cihaz (RX) ile Dinleme Serbestisi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Türkiye'de yalnızca dinlemek (sinyal yaymadan) yasal mı? 2813 Kanunu yayın yapmayı düzenler; salt dinlemeye dair açık bir serbesti maddesi yoktur. Bazı frekansları (askeri, emniyet) dinlemek ek riskler taşıyabilir.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Durumu Koru: </w:t>
            </w:r>
            <w:r>
              <w:rPr>
                <w:sz w:val="20"/>
                <w:szCs w:val="20"/>
              </w:rPr>
              <w:t>Yasal belirsizlik sürsün; pratik risk düşük, bireysel yönetilsin.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Topluluk Duyurusu: Dernek ve kulüpler 'amatör bantlarda dinleme serbesttir' açıklaması yayımlar.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Yazılı Görüş Talep Et: </w:t>
            </w:r>
            <w:r>
              <w:rPr>
                <w:sz w:val="20"/>
                <w:szCs w:val="20"/>
              </w:rPr>
              <w:t>BTK/KEGM'ye 2813 Md.36 kapsamında RX serbestisi konusunda bağlayıcı olmayan resmi görüş başvurusu yapılır.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Mevzuat Değişikliği: </w:t>
            </w:r>
            <w:r>
              <w:rPr>
                <w:sz w:val="20"/>
                <w:szCs w:val="20"/>
              </w:rPr>
              <w:t>2813 Kanunu'na 'salt alım yapan cihazlar lisans muafiyetindedir' maddesi eklenmesi için başvuru.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GA-RX/Kanal — Kanal Hafızasına Yetkisiz Frekans Kaydetme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Cihaz hafızasına askeri/güvenlik frekansı kaydedilmesi, CMK Md.134 el koyması sonrası 'kasıtlı izleme hazırlığı' kanıtı sayılabilir. Anlık tarama aynı riski taşımaz. Duyurulmamış bir hukuki tuzak.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Kişisel Sorumluluk: </w:t>
            </w:r>
            <w:r>
              <w:rPr>
                <w:sz w:val="20"/>
                <w:szCs w:val="20"/>
              </w:rPr>
              <w:t>Mevcut durumu koru; bilinçlendirme bireysel seviyede kalır.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Frekans Hijyeni Kılavuzu: dernek ve kulüpler 'cihaz hafızanızı yalnızca amatör bantlarla sınırlı tutun' kılavuzu yayımlar.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Hukuki Risk Duyurusu: </w:t>
            </w:r>
            <w:r>
              <w:rPr>
                <w:sz w:val="20"/>
                <w:szCs w:val="20"/>
              </w:rPr>
              <w:t>CMK/TCK riski hakkında tüm üyelere yazılı resmi uyarı gönderilir.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Mevzuat Muafiyeti: </w:t>
            </w:r>
            <w:r>
              <w:rPr>
                <w:sz w:val="20"/>
                <w:szCs w:val="20"/>
              </w:rPr>
              <w:t>CMK Md.134 kapsamında telsiz cihaz hafızasının 'teknik not' sayılması için yasal düzenleme.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GA-NODE — Remote Telsiz Nodu ve İnternet-RF Köprüsü (EchoLink, WebSDR)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EchoLink/AllStar gibi internet-RF köprüleri amatör bantta yayın yapar; WebSDR alınan sinyali internete açar. Her ikisi de RTÜK 6112 Kanunu'ndaki 'ses yayını' tanımına girebilir. Bugüne kadar BTK harekete geçmemiştir.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Toleransı Koru: </w:t>
            </w:r>
            <w:r>
              <w:rPr>
                <w:sz w:val="20"/>
                <w:szCs w:val="20"/>
              </w:rPr>
              <w:t>BTK harekete geçmediği sürece mevcut durumu sürdür; risk bireysel yönetilir.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lastRenderedPageBreak/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İyi Uygulama Standardı: </w:t>
            </w:r>
            <w:r>
              <w:rPr>
                <w:sz w:val="20"/>
                <w:szCs w:val="20"/>
              </w:rPr>
              <w:t>Dernekler EchoLink/AllStar için 'teknik etik kodu' belirler (callsign zorunluluğu, link log tutma vb.).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BTK/RTÜK Görüş Talebi: </w:t>
            </w:r>
            <w:r>
              <w:rPr>
                <w:sz w:val="20"/>
                <w:szCs w:val="20"/>
              </w:rPr>
              <w:t>İnternet-RF köprüsünün 6112 Kanunu kapsamı dışında olduğuna dair resmi görüş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FTM'ye Düzenleme: </w:t>
            </w:r>
            <w:r>
              <w:rPr>
                <w:sz w:val="20"/>
                <w:szCs w:val="20"/>
              </w:rPr>
              <w:t>FTM/TAD güncellemesine 'internet-RF arayüzü kullanan amatör sistemler' maddesi eklenmesi.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GA-CROSS — Bireysel Cross-Band ve Geçici Röle İşletimi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Röle işletimi yalnızca tüzel kişiliğe sahip derneklere verilmiştir. Bireysel cross-band bağlantısı teknik olarak 'röle' sayılır. Acil durumda ihtiyaç duyulduğunda bireysel geçici işletim fiilen yasadışıdır.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Şartı Koru: </w:t>
            </w:r>
            <w:r>
              <w:rPr>
                <w:sz w:val="20"/>
                <w:szCs w:val="20"/>
              </w:rPr>
              <w:t>Dernek şartı değişmesin; cross-band kullanımı 'dernek üyesi/gözetiminde' sınırlı kalsın.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Acil Durum SOP: </w:t>
            </w:r>
            <w:r>
              <w:rPr>
                <w:sz w:val="20"/>
                <w:szCs w:val="20"/>
              </w:rPr>
              <w:t>Kulüpler 'acil cross-band' standart işletim prosedürü yayımlar; dernek onaylı geçici etiket sistemi.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Geçici Muafiyet Talebi: </w:t>
            </w:r>
            <w:r>
              <w:rPr>
                <w:sz w:val="20"/>
                <w:szCs w:val="20"/>
              </w:rPr>
              <w:t>KEGM'den AFAD/112 koordinasyonlu durumlarda bireysel geçici cross-band için prosedür.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FTM Değişikliği: </w:t>
            </w:r>
            <w:r>
              <w:rPr>
                <w:sz w:val="20"/>
                <w:szCs w:val="20"/>
              </w:rPr>
              <w:t>FTM'ye 'acil durum kapsamında bireysel cross-band geçici işletim muafiyeti' maddesi eklenmesi.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GA-POC — POC Cihazları ve Amatör Telsiz Tanımının Yanlış Kullanımı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590950" w:rsidP="00590950">
            <w:pPr>
              <w:spacing w:before="40" w:after="40"/>
            </w:pPr>
            <w:r>
              <w:rPr>
                <w:sz w:val="20"/>
                <w:szCs w:val="20"/>
              </w:rPr>
              <w:t xml:space="preserve">Standart </w:t>
            </w:r>
            <w:r w:rsidR="00860B60">
              <w:rPr>
                <w:sz w:val="20"/>
                <w:szCs w:val="20"/>
              </w:rPr>
              <w:t xml:space="preserve">Push-to-Talk over Cellular (POC/Zello) cihazlar </w:t>
            </w:r>
            <w:r>
              <w:rPr>
                <w:sz w:val="20"/>
                <w:szCs w:val="20"/>
              </w:rPr>
              <w:t xml:space="preserve">amatör banttaki </w:t>
            </w:r>
            <w:r w:rsidR="00860B60">
              <w:rPr>
                <w:sz w:val="20"/>
                <w:szCs w:val="20"/>
              </w:rPr>
              <w:t>RF</w:t>
            </w:r>
            <w:r>
              <w:rPr>
                <w:sz w:val="20"/>
                <w:szCs w:val="20"/>
              </w:rPr>
              <w:t>’le</w:t>
            </w:r>
            <w:r w:rsidR="00860B6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çalışmaz</w:t>
            </w:r>
            <w:r w:rsidR="00860B60">
              <w:rPr>
                <w:sz w:val="20"/>
                <w:szCs w:val="20"/>
              </w:rPr>
              <w:t>; ITU-RR tanımına göre amatör telsiz değildir. Bazı satıcılar bunları 'lisanssız telsiz' olarak pazarlamaktadır. Alıcılar mağdur olabilir.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Pazara Bırak: </w:t>
            </w:r>
            <w:r>
              <w:rPr>
                <w:sz w:val="20"/>
                <w:szCs w:val="20"/>
              </w:rPr>
              <w:t>Tüketici hakkı mekanizmaları sorunu çözene dek müdahale yok.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Topluluk Uyarısı: Dernek ve kulüpler 'POC amatör telsiz değildir' açıklaması yayımlar; medyaya duyurulur.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BTK Sektör Uyarısı: </w:t>
            </w:r>
            <w:r>
              <w:rPr>
                <w:sz w:val="20"/>
                <w:szCs w:val="20"/>
              </w:rPr>
              <w:t>BTK'ya hatalı pazarlama konusunda şikâyet; BTK'nın e-ticaret platformlarına uyarı yönlendirmesi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Tüketici Bildirimi: </w:t>
            </w:r>
            <w:r>
              <w:rPr>
                <w:sz w:val="20"/>
                <w:szCs w:val="20"/>
              </w:rPr>
              <w:t>TÜKAS/Rekabet Kurumu'na sistematik şikâyet; sahte ürün kaydına karşı hukuki girişim.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GA-DIG — Dijital Modlar — FT8, Winlink, APRS (Şifreleme mi?)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2813 Kanunu ve FTM, 'anlam gizleme' amacıyla şifrelemeyi yasaklar. FT8, Winlink (Open B2F), APRS gibi modlar açık ve belgelidir; ITU-RR Md.25 testini karşılar. Ancak BTK yorumu henüz netleşmemiştir.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Kullanımı Sürdür: </w:t>
            </w:r>
            <w:r>
              <w:rPr>
                <w:sz w:val="20"/>
                <w:szCs w:val="20"/>
              </w:rPr>
              <w:t>Açık protokol gerekçesiyle FT8/Winlink/APRS kullanımına devam; bireysel risk düşük.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lastRenderedPageBreak/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Teknik Açıklama: dernek ve kulüpler 'bu modlar şifreleme değildir' teknik notu yayımlar; ITU-RR Md.25 testine atıfta bulunur.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BTK Görüş Talebi: </w:t>
            </w:r>
            <w:r>
              <w:rPr>
                <w:sz w:val="20"/>
                <w:szCs w:val="20"/>
              </w:rPr>
              <w:t>BTK'ya FT8/Winlink/APRS protokollerinin 2813 Md.36 şifreleme yasağı kapsamı dışında olduğuna dair görüş.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FTM'ye Açık Protokol Listesi: </w:t>
            </w:r>
            <w:r>
              <w:rPr>
                <w:sz w:val="20"/>
                <w:szCs w:val="20"/>
              </w:rPr>
              <w:t>FTM/TAD güncellemesine uluslararası amatör standart açık protokollerin listeyle muafiyet maddesi eklenmesi.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GA-ENFORC — Röle Mandalcılığı ve Uygulama Asimetrisi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Röle bloke eden (mandalcı) bireylerin tespiti teknik olarak güçtür; BTK yalnızca lisanslı operatörlere karşı işlem yapabilir. Anonim girişimciler fiilen dokunulmazdır. 'Frekans polisi' olarak bilinen bireysel yaptırımın yasal dayanağı yoktur.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Durumu Koru: </w:t>
            </w:r>
            <w:r>
              <w:rPr>
                <w:sz w:val="20"/>
                <w:szCs w:val="20"/>
              </w:rPr>
              <w:t>Uygulama asimetrisi kabul edilir; topluluk sosyal baskıyla yönetir.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Röle Etik Kodu: </w:t>
            </w:r>
            <w:r>
              <w:rPr>
                <w:sz w:val="20"/>
                <w:szCs w:val="20"/>
              </w:rPr>
              <w:t>Kulüpler kendi röleleri için etik işletim kodu + şikâyet mekanizması oluşturur.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BTK Tavsiye Kararı: </w:t>
            </w:r>
            <w:r>
              <w:rPr>
                <w:sz w:val="20"/>
                <w:szCs w:val="20"/>
              </w:rPr>
              <w:t>BTK'ya röle erişim hakkı ve etik işletim için sektör rehberi/tavsiye kararı talebi.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Mevzuat Düzenlemesi: </w:t>
            </w:r>
            <w:r>
              <w:rPr>
                <w:sz w:val="20"/>
                <w:szCs w:val="20"/>
              </w:rPr>
              <w:t>KEGM Yönetmeliği'ne röle erişim hakkı ve ihlal prosedürü maddesi eklenmesi.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GA-BAND-1 — A/B/C Sınıfı Yetki Tablosu Belirsizliği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Sınıf bazlı yetki tablosu aslında yayımlanmış durumda (FTM Teknik Ölçütler, BTK Kurul Kararı 23.09.2022; Md.22 ve Tablo 25). Ancak KEGM Sınav Yönetmeliği Md.18, sınıf yetkilerini hâlâ 27/11/2018'de mülga edilen Özel Telsiz Sistemleri Yönetmeliği'nin EK-4 Tablo-1'ine atıfla tanımlıyor; belgesinin hangi hakları verdiğini öğrenmek isteyen amatör, var olmayan bir tabloya yönlendiriliyor. Haklar yayımlanmış olmasına rağmen camiada bilinmiyor. Örnek: 50 MHz'in C sınıfına kapalı olduğu, B sınıfının 40m ve 10m'de 5W homebrew ile çalışabileceği, B ve C sınıfının gözetim altında tüm bantları kullanabileceği yeterince bilinmiyor.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Dağınık Durumu Koru: </w:t>
            </w:r>
            <w:r>
              <w:rPr>
                <w:sz w:val="20"/>
                <w:szCs w:val="20"/>
              </w:rPr>
              <w:t>TAD + FTM Tablo 25 birlikte okunmaya devam eder.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Özet Tablo: dernek ve kulüpler tek sayfalık 'sınıf × bant' yetki tablosu hazırlar ve yayımlar.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KEGM Resmi Tablo Talebi: </w:t>
            </w:r>
            <w:r>
              <w:rPr>
                <w:sz w:val="20"/>
                <w:szCs w:val="20"/>
              </w:rPr>
              <w:t>KEGM'den tüm sınıfların yetkili bantlarını ve güç limitlerini gösteren resmi belge yayımlanması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CEPT T/R 61-01 Uyum: </w:t>
            </w:r>
            <w:r>
              <w:rPr>
                <w:sz w:val="20"/>
                <w:szCs w:val="20"/>
              </w:rPr>
              <w:t>KEGM Sınav Yönetmeliği'nin CEPT Tier 1/Tier 2 yapısıyla uyumlu kapsamlı güncellemesi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GA-BAND-2 — 4m Bandı (70–70,5 MHz) — Türkiye'de Tahsis Yok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70–70,5 MHz CEPT üyesi bazı ülkelerde (GB, IE, NL, SK, DK) ikincil amatör tahsislidir. BTK Milli Frekans Planı'nda amatör tahsis yoktur.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Durumu Koru: </w:t>
            </w:r>
            <w:r>
              <w:rPr>
                <w:sz w:val="20"/>
                <w:szCs w:val="20"/>
              </w:rPr>
              <w:t>70 MHz bandı amatör dışında kalsın.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Bilgi Sunumu: </w:t>
            </w:r>
            <w:r>
              <w:rPr>
                <w:sz w:val="20"/>
                <w:szCs w:val="20"/>
              </w:rPr>
              <w:t>BTK'ya CEPT ülkelerindeki 70 MHz amatör kullanımı hakkında teknik bilgi sunumu yapılır.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lastRenderedPageBreak/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MFP Tahsis Talebi: </w:t>
            </w:r>
            <w:r>
              <w:rPr>
                <w:sz w:val="20"/>
                <w:szCs w:val="20"/>
              </w:rPr>
              <w:t>BTK'ya 70,0–70,5 MHz bandının Milli Frekans Planı'na ikincil amatör tahsis olarak eklenmesi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ERC/REC 25-10 Çerçevesinde Müzakere: dernek ve kulüpler, BTK aracılığıyla ECC'ye Türkiye adına 70 MHz ikincil tahsis talebini iletir.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GA-BAND-3 — Mikrodalga Bantları (2,4 / 5,7 / 10 / 24 GHz) — MFP Var, TAD Yok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BTK MFP bazı mikrodalga bantlarını ikincil amatör tahsisli listeler; ancak TAD 2021 bu bantlar için teknik parametreler içermiyor. 2,4 GHz hem WiFi SRD hem amatör alanda bulunuyor.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Durumu Koru: </w:t>
            </w:r>
            <w:r>
              <w:rPr>
                <w:sz w:val="20"/>
                <w:szCs w:val="20"/>
              </w:rPr>
              <w:t>Mikrodalga kullanımı pratikte sorunsuz sürsün.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Kullanım Rehberi: dernek ve kulüpler 'mikrodalga amatör kullanım rehberi' yayımlar; IARU R1 bandplan referansıyla.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TAD Parametresi Talebi: </w:t>
            </w:r>
            <w:r>
              <w:rPr>
                <w:sz w:val="20"/>
                <w:szCs w:val="20"/>
              </w:rPr>
              <w:t>BTK'ya MFP'deki ikincil amatör tahsisli bantlar için TAD 2021'e ek teknik parametre maddesi eklenmesi.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Öncelikli 2,4 GHz TAD: </w:t>
            </w:r>
            <w:r>
              <w:rPr>
                <w:sz w:val="20"/>
                <w:szCs w:val="20"/>
              </w:rPr>
              <w:t>En yaygın kullanım olduğu için 2,4 GHz'i öncelikli hedef olarak BTK'ya sunar; diğer bantlar ikincil adımda ele alınır.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GA-ARAC — Araçta Amatör Telsiz Kullanımı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FTM Tablo 25 amatör telsizi 'sabit, araç ve el telsizlerini' kapsar; araç telsizi FTM muafiyetindedir. Ancak sabit anten montajı, sürüş sırasında el telsizi tutma ve kurumsal araç izni konusunda belirsizlik vardır.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Belirsizliği Koru: </w:t>
            </w:r>
            <w:r>
              <w:rPr>
                <w:sz w:val="20"/>
                <w:szCs w:val="20"/>
              </w:rPr>
              <w:t>Pratik sorun nadir; bireysel sorumluluk yeterli.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Araç Montaj Kılavuzu: dernek ve kulüpler 'amatör araç telsiz montaj ve kullanım kılavuzu' yayımlar; mag-mount önerir, sürüşte hands-free vurgular.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BTK Duyuru Talebi: </w:t>
            </w:r>
            <w:r>
              <w:rPr>
                <w:sz w:val="20"/>
                <w:szCs w:val="20"/>
              </w:rPr>
              <w:t>BTK'dan mobil amatör istasyon anten montajı ve trafik mevzuatı konusunda net duyuru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KTK/FTM Net Düzenleme: </w:t>
            </w:r>
            <w:r>
              <w:rPr>
                <w:sz w:val="20"/>
                <w:szCs w:val="20"/>
              </w:rPr>
              <w:t>2918 KTK Md.29 ve FTM kapsamında araç amatör istasyonu için net yasal çerçeve talebi.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GA-POTA — Park Aktivasyonu (POTA) — Arazi Kullanım İzinleri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FTM muafiyeti frekans spektrumunu kapsar; arazi kullanım izni ayrıdır. Milli park, devlet ormanı, belediye parkı ve kıyı gibi farklı arazi türlerinde hangi kuruma başvurulacağı belirsizdir.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Bireysel Sorumluluk: </w:t>
            </w:r>
            <w:r>
              <w:rPr>
                <w:sz w:val="20"/>
                <w:szCs w:val="20"/>
              </w:rPr>
              <w:t>Her aktivatör kendi araştırmasını yapar; mevcut tolerans yeterli.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İzin Rehberi: dernek ve kulüpler 'POTA izin rehberi' yayımlar: arazi türüne göre hangi kuruma başvurulur tablosuyla.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Bakanlıklarla Protokol: Tarım ve Orman Bakanlığı + ÇŞİB ile dernek ve kulüpler arasında amatör telsiz aktivasyonu kolaylaştırıcı ortak protokol.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lastRenderedPageBreak/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BTK Tebliğ Talebi: </w:t>
            </w:r>
            <w:r>
              <w:rPr>
                <w:sz w:val="20"/>
                <w:szCs w:val="20"/>
              </w:rPr>
              <w:t>BTK'nın FTM muafiyetinin arazi iznini kapsamadığını açıklayan resmi tebliğ yayımlaması; arazi sahiplerine bildirim.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GA-AREDN — AREDN Amatör Mesh Ağı (2,4 / 5,8 GHz)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AREDN, değiştirilmiş WiFi donanımıyla 2,4 ve 5,8 GHz amatör bantlarda mesh ağ kurar. Türkiye'de bu bantlar ikincil amatör tahsisli; ancak TAD'da teknik parametre yoktur. 2,4 GHz hem WiFi SRD hem amatör bant.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Amatör Lisansla Kullan: </w:t>
            </w:r>
            <w:r>
              <w:rPr>
                <w:sz w:val="20"/>
                <w:szCs w:val="20"/>
              </w:rPr>
              <w:t>A/B sınıfı lisansla, amatör çağrı işareti yayınlayarak kullanım mevcut haliyle sürsün.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AREDN Rehberi: dernek ve kulüpler Türkiye AREDN kullanım rehberi ve ağ koordinasyon noktası oluşturur.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TAD Parametre Talebi: </w:t>
            </w:r>
            <w:r>
              <w:rPr>
                <w:sz w:val="20"/>
                <w:szCs w:val="20"/>
              </w:rPr>
              <w:t>BTK'ya 2,4/5,8 GHz amatör kullanımı için TAD 2021'e teknik parametre maddesi eklenmesi.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Firmware=Kendi İmalatı Açıklaması: </w:t>
            </w:r>
            <w:r>
              <w:rPr>
                <w:sz w:val="20"/>
                <w:szCs w:val="20"/>
              </w:rPr>
              <w:t>KEGM'den 'firmware değiştirilen ticari donanım kendi imalatı sayılır mı?' sorusuna resmi yanıt.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GA-LORA — LoRa / Meshtastic / LoRa-APRS — 433/868/915 MHz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</w:p>
          <w:p w:rsidR="00907C16" w:rsidRDefault="00860B60">
            <w:pPr>
              <w:spacing w:before="40" w:after="40"/>
            </w:pPr>
            <w:r>
              <w:rPr>
                <w:sz w:val="20"/>
                <w:szCs w:val="20"/>
              </w:rPr>
              <w:t>Türkiye'de 868 MHz FTM-muaf SRD (lisanssız, 25 mW). 433 MHz FTM-muaf SRD (10 mW) ancak amatör band. 915 MHz Türkiye'de GSM/LTE spektrumu — YASADIŞI. LoRa-APRS TX callsign ile amatör operasyon sayılır.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Mevcut Durumu Koru: </w:t>
            </w:r>
            <w:r>
              <w:rPr>
                <w:sz w:val="20"/>
                <w:szCs w:val="20"/>
              </w:rPr>
              <w:t>Kullanıcılar kendi araştırmasını yapar; 868 MHz zaten yasal.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dernek ve kulüpler/Kulüp Duyurusu: dernek ve kulüpler '915 MHz Türkiye'de yasadışı; 868 MHz kullanın' duyurusu yayımlar; Meshtastic topluluğuna iletir.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BTK Sektör Uyarısı: </w:t>
            </w:r>
            <w:r>
              <w:rPr>
                <w:sz w:val="20"/>
                <w:szCs w:val="20"/>
              </w:rPr>
              <w:t>BTK'ya 915 MHz preset'li ithal cihazlar için tüketici uyarısı ve e-ticaret platformlarına bildirim talebi.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LoRa-APRS TX Muafiyeti: </w:t>
            </w:r>
            <w:r>
              <w:rPr>
                <w:sz w:val="20"/>
                <w:szCs w:val="20"/>
              </w:rPr>
              <w:t>FTM düzenlemesine callsign içeren LoRa-APRS iletimlerinin SRD muafiyeti kapsamında kalması için madde.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Diğer görüş / not: </w:t>
            </w:r>
            <w:r>
              <w:rPr>
                <w:color w:val="AAAAAA"/>
                <w:sz w:val="20"/>
                <w:szCs w:val="20"/>
              </w:rPr>
              <w:t>_____________________________________________</w:t>
            </w:r>
          </w:p>
        </w:tc>
      </w:tr>
    </w:tbl>
    <w:p w:rsidR="00907C16" w:rsidRDefault="00907C16">
      <w:pPr>
        <w:spacing w:before="160"/>
      </w:pP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GA-4 — Yurt Dışı Geçici Cihaz Çıkışı (Gümrük)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  <w:r>
              <w:rPr>
                <w:b/>
                <w:bCs/>
                <w:sz w:val="20"/>
                <w:szCs w:val="20"/>
              </w:rPr>
              <w:br/>
              <w:t>Amatör telsizcinin seyahatte cihazını yurt dışına çıkarması için standart bir gümrük prosedürü yoktur. Gümrük Yönetmeliği Ek-71 kullanılmakla birlikte uygulama il bazında değişir; CEPT karşılıklı tanıma (T/R 61-01) da TR'de uygulanmaz.</w:t>
            </w:r>
          </w:p>
          <w:p w:rsidR="00907C16" w:rsidRDefault="00907C16">
            <w:pPr>
              <w:spacing w:before="40" w:after="40"/>
            </w:pP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Mevcut Durumu Koru: Ek-71 ile bireysel çözüm sürsün; sorun nadir yaşanır.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Topluluk Rehberi: dernek ve kulüpler 'yurt dışına telsiz çıkışı' kılavuzu yayımlar (Ek-71 örneği, ATA Karnesi bilgisi).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 xml:space="preserve">Yazılı Görüş Talep Et: Ticaret Bakanlığı / Gümrükler Genel Müdürlüğü'nden amatör </w:t>
            </w:r>
            <w:r>
              <w:rPr>
                <w:b/>
                <w:bCs/>
                <w:sz w:val="20"/>
                <w:szCs w:val="20"/>
              </w:rPr>
              <w:lastRenderedPageBreak/>
              <w:t>cihazların geçici çıkışı için standart prosedür görüşü istenir.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lastRenderedPageBreak/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Mevzuat/Prosedür Düzenlemesi: Amatör cihazların geçici çıkışı için standart gümrük prosedür belgesi ve CEPT T/R 61-01 uyumu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</w:tbl>
    <w:p w:rsidR="00F3127E" w:rsidRDefault="00F3127E"/>
    <w:p w:rsidR="00B6322F" w:rsidRDefault="00B6322F"/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B6322F" w:rsidTr="00B06F0A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color w:val="FFFFFF"/>
              </w:rPr>
              <w:t>GA-6 — Anten Kurulumu ve Kat Mülkiyeti (KMK) Çatışması</w:t>
            </w:r>
          </w:p>
        </w:tc>
      </w:tr>
      <w:tr w:rsidR="00B6322F" w:rsidTr="00B06F0A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📋 SORUN:</w:t>
            </w:r>
            <w:r>
              <w:rPr>
                <w:b/>
                <w:bCs/>
                <w:sz w:val="20"/>
                <w:szCs w:val="20"/>
              </w:rPr>
              <w:br/>
              <w:t>Amatör anten kurmak isteyen operatör, 634 sayılı KMK Md.19 kapsamında ortak alan değişikliği için kat maliklerinin nitelikli çoğunluğunun onayına takılır. Mevzuatta amatör antene özgü muafiyet veya güvence yoktur; emsal mahkeme kararları dağınıktır.</w:t>
            </w:r>
          </w:p>
          <w:p w:rsidR="00B6322F" w:rsidRDefault="00B6322F" w:rsidP="00B06F0A">
            <w:pPr>
              <w:spacing w:before="40" w:after="40"/>
            </w:pP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Mevcut Durumu Koru: Uyuşmazlıklar bireysel/mahkeme yoluyla çözülsün.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Emsal Derlemesi: dernek ve kulüpler, anten uyuşmazlıklarında kullanılabilecek emsal karar derlemesi ve örnek dilekçe yayımlar.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Yazılı Görüş/Genelge Talep Et: BTK/KEGM'den KMK Md.19 ile çatışmayı açıklayan görüş/genelge; Çevre ve Şehircilik Bakanlığı'na başvuru.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Mevzuat Değişikliği: 634 KMK veya alt düzenlemede amatör antenine özgü hak/güvence maddesi eklenmesi talebi.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</w:tbl>
    <w:p w:rsidR="00B6322F" w:rsidRDefault="00B6322F"/>
    <w:p w:rsidR="00671200" w:rsidRDefault="00671200">
      <w:pPr>
        <w:rPr>
          <w:b/>
          <w:bCs/>
          <w:color w:val="1F4E79"/>
          <w:sz w:val="28"/>
          <w:szCs w:val="28"/>
        </w:rPr>
      </w:pPr>
    </w:p>
    <w:p w:rsidR="00671200" w:rsidRDefault="00671200">
      <w:pPr>
        <w:rPr>
          <w:b/>
          <w:bCs/>
          <w:color w:val="1F4E79"/>
          <w:sz w:val="28"/>
          <w:szCs w:val="28"/>
        </w:rPr>
      </w:pPr>
      <w:r>
        <w:rPr>
          <w:b/>
          <w:bCs/>
          <w:color w:val="1F4E79"/>
          <w:sz w:val="28"/>
          <w:szCs w:val="28"/>
        </w:rPr>
        <w:br w:type="page"/>
      </w:r>
    </w:p>
    <w:p w:rsidR="00671200" w:rsidRDefault="00671200"/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B6322F" w:rsidTr="00B06F0A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color w:val="FFFFFF"/>
              </w:rPr>
              <w:t>GA-SK — Silent Key, Çağrı İşareti Yaşam Döngüsü ve Vesayet</w:t>
            </w:r>
          </w:p>
        </w:tc>
      </w:tr>
      <w:tr w:rsidR="00B6322F" w:rsidTr="00B06F0A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📋 SORUN:</w:t>
            </w:r>
            <w:r>
              <w:rPr>
                <w:b/>
                <w:bCs/>
                <w:sz w:val="20"/>
                <w:szCs w:val="20"/>
              </w:rPr>
              <w:br/>
              <w:t>KEGM Yönetmeliği Md.7/2, vefat/vesayet hâlinde çağrı işaretinin — belgenin geçerlilik süresi içinde, aynı bölgede ikamet eden ve eşdeğer belgeye sahip bir varis/vasiye, hak sahipliği belgelenerek — tahsis edilebileceğini düzenler. Yani 'tanımsız' algısı isabetli değil; ancak dar kapsamlı: süre sonrası akıbet açık değil, belgesiz aile üyeleri kapsam dışı, tahsis KEGM takdirinde.</w:t>
            </w:r>
          </w:p>
          <w:p w:rsidR="00B6322F" w:rsidRDefault="00B6322F" w:rsidP="00B06F0A">
            <w:pPr>
              <w:spacing w:before="40" w:after="40"/>
            </w:pP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Mevcut Durumu Koru: Md.7/2'deki şartlı vesayet mekanizması (varis/vasi + aynı bölge + eşdeğer belge + süre içinde) olduğu gibi sürsün.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Topluluk Kılavuzu: Dernek ve kulüpler SK terminolojisi, Md.7/2 vesayet usulü ve saygı protokolünü içeren bir farkındalık kılavuzu yayımlar.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Yazılı Görüş Talep Et: KEGM'den Md.7/2'nin süre sonrası akıbeti ve 'eşdeğer belge' şartının esnetilmesi için resmî görüş.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Mevzuat Düzenlemesi: Md.7/2'nin süre sonrası akıbeti tanımlansın; eşdeğer belge şartı gözden geçirilsin — devir seçenekleri (süre sonu serbest / kalıcı anıt / aile-kulüp genişletme) değerlendirilsin.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  <w:tr w:rsidR="00B6322F" w:rsidTr="00B06F0A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color w:val="FFFFFF"/>
              </w:rPr>
              <w:t>GA-CALL — Bölge Değişikliğinde Çağrı İşareti ve Taşınabilirlik</w:t>
            </w:r>
          </w:p>
        </w:tc>
      </w:tr>
      <w:tr w:rsidR="00B6322F" w:rsidTr="00B06F0A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📋 SORUN:</w:t>
            </w:r>
            <w:r>
              <w:rPr>
                <w:b/>
                <w:bCs/>
                <w:sz w:val="20"/>
                <w:szCs w:val="20"/>
              </w:rPr>
              <w:br/>
              <w:t>Bölgeye taşınınca 3 ay içinde başvuru zorunlu; ya yeni çağrı ya '/bölge' ile koruma (ör. TA3A/4). 3 ay başvuru yükü, '/bölge' korumasının kalıcı kabulü belirsiz; afet göçüyle kural fiilen işlemiyor. (Tam farklı işarete geçiş zorunlu değildir.)</w:t>
            </w:r>
          </w:p>
          <w:p w:rsidR="00B6322F" w:rsidRDefault="00B6322F" w:rsidP="00B06F0A">
            <w:pPr>
              <w:spacing w:before="40" w:after="40"/>
            </w:pP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Mevcut Durumu Koru: 3 ay + yeni çağrı ya da /bölge kuralı sürsün.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Topluluk Kılavuzu: Dernek ve kulüpler '/bölge ile koruma' hakkını ve 'zorunlu tam değişim' yanlış algısının düzeltilmesini anlatan kılavuz yayımlar.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Yazılı Görüş Talep Et: KEGM'den kalıcı ikamette '/bölge' korumasının süresiz kabulü, 3 ay yükünün hafifletilmesi ve afet muafiyeti için resmî görüş.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Mevzuat Değişikliği: Bölge tabanlı yeniden tahsis kalksın; çağrı işareti ülke genelinde taşınabilir olsun.</w:t>
            </w:r>
          </w:p>
        </w:tc>
      </w:tr>
      <w:tr w:rsidR="00B6322F" w:rsidTr="00B06F0A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B6322F" w:rsidRDefault="00B6322F" w:rsidP="00B06F0A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B6322F" w:rsidRDefault="00B6322F" w:rsidP="00B06F0A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</w:tbl>
    <w:p w:rsidR="001732BC" w:rsidRDefault="001732BC"/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GA-CIHAZ — Cihaz Uygunluğu, Piyasa Gözetimi ve Devir Kaydı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</w:rPr>
              <w:t>Uygunluk beyanına dayalı rejimde, istenmeyen emisyon limitlerini karşılamayan ucuz verici cihazlar e-ticarette belge kontrolü olmadan satılıyor (BTK 2019'da UV-5R dahil bazı modelleri güvensiz ilan edip toplattı). Cihaz devrinde bildirim usulü yok; izlenebilirlik zayıf.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Mevcut Durumu Koru: Piyasa serbestisi sürsün; sorumluluk kullanıcıda kalsın.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Topluluk Duyurusu: Dernek ve kulüpler 'uyumlu cihaz listesi' ve devir kaydı iyi uygulama rehberi yayımlar.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Yazılı Görüş Talep Et: BTK'dan satışta belge kontrolü ve piyasa gözetimi uygulaması hakkında resmî görüş istenir.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Mevzuat/Prosedür: Satışta belge kontrolü, sıkı emisyon denetimi ve devir bildirim usulü talep edilir.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</w:tbl>
    <w:p w:rsidR="001732BC" w:rsidRDefault="001732BC"/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700"/>
        <w:gridCol w:w="8660"/>
      </w:tblGrid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907C16" w:rsidRDefault="00860B60">
            <w:r>
              <w:rPr>
                <w:b/>
                <w:bCs/>
                <w:color w:val="FFFFFF"/>
              </w:rPr>
              <w:t>GA-EMCOMM — Afet Haberleşmesi: AFAD ile Resmî Protokol (MOU)</w:t>
            </w:r>
          </w:p>
        </w:tc>
      </w:tr>
      <w:tr w:rsidR="00907C16">
        <w:tc>
          <w:tcPr>
            <w:tcW w:w="936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6E4F0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📋 SORUN:</w:t>
              <w:br/>
              <w:t>Amatör telsiz dernekleri, ulusal afet haberleşme planı yazışmalarında 2012-2024 arasında ismen “çözüm ortağı” olarak anılıyor; FTM Md.22 §3-§4 de afette yardım dayanağı veriyor. Ancak amatöre hangi görevin verildiği (teknik destek, malzeme, operatörlük) kamuya açık değil ve dernek üyesi olmayan bireysel amatörün konumu hiç tanımlı değil.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</w:rPr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A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Mevcut Durumu Koru: Fiilî iş birliği yeterlidir; ek bir tanım veya protokol aranmasın.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B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Topluluk Kaydı: Dernek ve kulüpler afet görev tanımlarını, eğitim ve tatbikat kayıtlarını kendileri derleyip yayımlar.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C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Plan İçeriği Talebi: Ulusal Düzey Afet Haberleşme Grubu Planı’nın amatör telsize ilişkin bölümünün ve amatörlere verilen somut görevin kamuya açıklanması istenir.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D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Kapsam ve Tanım Talebi: Amatörlerin afetteki yetki ve sorumlulukları ile bireysel amatörlerin dâhil olma usulü yazılı olarak tanımlanır; il düzeyinde eşleşme ve tatbikat esasa bağlanır.</w:t>
            </w:r>
          </w:p>
        </w:tc>
      </w:tr>
      <w:tr w:rsidR="00907C16">
        <w:tc>
          <w:tcPr>
            <w:tcW w:w="7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00" w:type="dxa"/>
            </w:tcMar>
          </w:tcPr>
          <w:p w:rsidR="00907C16" w:rsidRDefault="00860B60">
            <w:pPr>
              <w:jc w:val="center"/>
            </w:pPr>
            <w:r>
              <w:rPr>
                <w:b/>
                <w:bCs/>
              </w:rPr>
              <w:t>☐  E</w:t>
            </w:r>
          </w:p>
        </w:tc>
        <w:tc>
          <w:tcPr>
            <w:tcW w:w="86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2CC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907C16" w:rsidRDefault="00860B60">
            <w:r>
              <w:rPr>
                <w:b/>
                <w:bCs/>
                <w:sz w:val="20"/>
                <w:szCs w:val="20"/>
              </w:rPr>
              <w:t>Diğer görüş / not: _____________________________________________</w:t>
            </w:r>
          </w:p>
        </w:tc>
      </w:tr>
    </w:tbl>
    <w:p w:rsidR="001732BC" w:rsidRDefault="001732BC"/>
    <w:p w:rsidR="00671200" w:rsidRDefault="00671200">
      <w:r>
        <w:rPr>
          <w:b/>
          <w:bCs/>
          <w:color w:val="1F4E79"/>
          <w:sz w:val="28"/>
          <w:szCs w:val="28"/>
        </w:rPr>
        <w:t>TOPLAM OY ÖZET TABLOSU (Sayım İçin)</w:t>
      </w:r>
    </w:p>
    <w:tbl>
      <w:tblPr>
        <w:tblW w:w="9360" w:type="dxa"/>
        <w:tblInd w:w="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2290"/>
        <w:gridCol w:w="1414"/>
        <w:gridCol w:w="1414"/>
        <w:gridCol w:w="1414"/>
        <w:gridCol w:w="1414"/>
        <w:gridCol w:w="1414"/>
      </w:tblGrid>
      <w:tr w:rsidR="00671200" w:rsidTr="00671200">
        <w:trPr>
          <w:tblHeader/>
        </w:trPr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71200" w:rsidRDefault="00671200" w:rsidP="00B06F0A">
            <w:r>
              <w:rPr>
                <w:b/>
                <w:bCs/>
                <w:color w:val="FFFFFF"/>
                <w:sz w:val="20"/>
                <w:szCs w:val="20"/>
              </w:rPr>
              <w:t>Gri Alan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60" w:type="dxa"/>
              <w:bottom w:w="80" w:type="dxa"/>
              <w:right w:w="60" w:type="dxa"/>
            </w:tcMar>
          </w:tcPr>
          <w:p w:rsidR="00671200" w:rsidRDefault="00671200" w:rsidP="00B06F0A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A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71200" w:rsidRDefault="00671200" w:rsidP="00B06F0A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B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71200" w:rsidRDefault="00671200" w:rsidP="00B06F0A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71200" w:rsidRDefault="00671200" w:rsidP="00B06F0A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671200" w:rsidRDefault="00671200" w:rsidP="00B06F0A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E</w:t>
            </w: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GA-1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GA-3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GA-RX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GA-RX/Kanal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GA-NODE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GA-CROSS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GA-POC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GA-DIG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GA-ENFORC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GA-BAND-1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GA-BAND-2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GA-BAND-3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GA-ARAC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GA-POTA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GA-AREDN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GA-LORA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Pr="00B6322F" w:rsidRDefault="00671200" w:rsidP="00B06F0A">
            <w:pPr>
              <w:rPr>
                <w:sz w:val="18"/>
                <w:szCs w:val="18"/>
              </w:rPr>
            </w:pPr>
            <w:r w:rsidRPr="00B6322F">
              <w:rPr>
                <w:sz w:val="18"/>
                <w:szCs w:val="18"/>
              </w:rPr>
              <w:t>GA-4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Pr="00B6322F" w:rsidRDefault="00671200" w:rsidP="00B06F0A">
            <w:pPr>
              <w:rPr>
                <w:sz w:val="18"/>
                <w:szCs w:val="18"/>
              </w:rPr>
            </w:pPr>
            <w:r w:rsidRPr="00B6322F">
              <w:rPr>
                <w:sz w:val="18"/>
                <w:szCs w:val="18"/>
              </w:rPr>
              <w:t>GA-6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</w:tr>
      <w:tr w:rsidR="001B7BE9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B7BE9" w:rsidRPr="00B6322F" w:rsidRDefault="001B7BE9" w:rsidP="00B06F0A">
            <w:pPr>
              <w:rPr>
                <w:sz w:val="18"/>
                <w:szCs w:val="18"/>
              </w:rPr>
            </w:pPr>
            <w:r w:rsidRPr="001B7BE9">
              <w:rPr>
                <w:sz w:val="18"/>
                <w:szCs w:val="18"/>
              </w:rPr>
              <w:t>GA-SK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</w:tr>
      <w:tr w:rsidR="001B7BE9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1B7BE9" w:rsidRPr="00B6322F" w:rsidRDefault="001B7BE9" w:rsidP="00B06F0A">
            <w:pPr>
              <w:rPr>
                <w:sz w:val="18"/>
                <w:szCs w:val="18"/>
              </w:rPr>
            </w:pPr>
            <w:r w:rsidRPr="001B7BE9">
              <w:rPr>
                <w:sz w:val="18"/>
                <w:szCs w:val="18"/>
              </w:rPr>
              <w:t>GA-CALL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1B7BE9" w:rsidRPr="001B7BE9" w:rsidRDefault="001B7BE9" w:rsidP="00B06F0A">
            <w:pPr>
              <w:jc w:val="center"/>
              <w:rPr>
                <w:sz w:val="18"/>
                <w:szCs w:val="18"/>
              </w:rPr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Pr="001B7BE9" w:rsidRDefault="00671200" w:rsidP="00B06F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GA-CIHAZ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Pr="001B7BE9" w:rsidRDefault="00671200" w:rsidP="00B06F0A">
            <w:pPr>
              <w:jc w:val="center"/>
              <w:rPr>
                <w:sz w:val="18"/>
                <w:szCs w:val="18"/>
              </w:rPr>
            </w:pPr>
          </w:p>
        </w:tc>
      </w:tr>
      <w:tr w:rsidR="00671200" w:rsidTr="00671200">
        <w:tc>
          <w:tcPr>
            <w:tcW w:w="229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:rsidR="00671200" w:rsidRDefault="00671200" w:rsidP="00B06F0A">
            <w:r>
              <w:rPr>
                <w:sz w:val="18"/>
                <w:szCs w:val="18"/>
              </w:rPr>
              <w:t>GA-EMCOMM</w:t>
            </w: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60" w:type="dxa"/>
              <w:bottom w:w="60" w:type="dxa"/>
            </w:tcMar>
          </w:tcPr>
          <w:p w:rsidR="00671200" w:rsidRDefault="00671200" w:rsidP="00B06F0A">
            <w:pPr>
              <w:jc w:val="center"/>
            </w:pPr>
          </w:p>
        </w:tc>
      </w:tr>
    </w:tbl>
    <w:p w:rsidR="00671200" w:rsidRDefault="00671200" w:rsidP="00671200"/>
    <w:p w:rsidR="00671200" w:rsidRDefault="00671200"/>
    <w:p w:rsidR="001732BC" w:rsidRDefault="006501F4">
      <w:r>
        <w:rPr>
          <w:i/>
        </w:rPr>
        <w:t xml:space="preserve">Not: IARU Bölge 1 Türkiye üyesi kuruluş TRAC'tır (bilgi amaçlı; bu pusula herhangi bir derneğe rol </w:t>
      </w:r>
      <w:r>
        <w:rPr>
          <w:i/>
        </w:rPr>
        <w:t>atfetmez).</w:t>
      </w:r>
    </w:p>
    <w:sectPr w:rsidR="001732BC" w:rsidSect="00907C16">
      <w:footerReference w:type="default" r:id="rId7"/>
      <w:pgSz w:w="11906" w:h="16838"/>
      <w:pgMar w:top="1080" w:right="1080" w:bottom="108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01F4" w:rsidRDefault="006501F4" w:rsidP="00907C16">
      <w:r>
        <w:separator/>
      </w:r>
    </w:p>
  </w:endnote>
  <w:endnote w:type="continuationSeparator" w:id="1">
    <w:p w:rsidR="006501F4" w:rsidRDefault="006501F4" w:rsidP="00907C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C16" w:rsidRDefault="00860B60">
    <w:pPr>
      <w:jc w:val="center"/>
    </w:pPr>
    <w:r>
      <w:rPr>
        <w:color w:val="888888"/>
        <w:sz w:val="18"/>
        <w:szCs w:val="18"/>
      </w:rPr>
      <w:t xml:space="preserve">Türk Amatör Telsizcilik Uzlaşı Oy Pusulası  |  Sayfa </w:t>
    </w:r>
    <w:r w:rsidR="001732BC"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PAGE</w:instrText>
    </w:r>
    <w:r w:rsidR="001732BC">
      <w:rPr>
        <w:color w:val="888888"/>
        <w:sz w:val="18"/>
        <w:szCs w:val="18"/>
      </w:rPr>
      <w:fldChar w:fldCharType="separate"/>
    </w:r>
    <w:r w:rsidR="001B7BE9">
      <w:rPr>
        <w:noProof/>
        <w:color w:val="888888"/>
        <w:sz w:val="18"/>
        <w:szCs w:val="18"/>
      </w:rPr>
      <w:t>9</w:t>
    </w:r>
    <w:r w:rsidR="001732BC">
      <w:rPr>
        <w:color w:val="888888"/>
        <w:sz w:val="18"/>
        <w:szCs w:val="18"/>
      </w:rPr>
      <w:fldChar w:fldCharType="end"/>
    </w:r>
    <w:r>
      <w:rPr>
        <w:color w:val="888888"/>
        <w:sz w:val="18"/>
        <w:szCs w:val="18"/>
      </w:rPr>
      <w:t xml:space="preserve"> / </w:t>
    </w:r>
    <w:r w:rsidR="001732BC">
      <w:rPr>
        <w:color w:val="888888"/>
        <w:sz w:val="18"/>
        <w:szCs w:val="18"/>
      </w:rPr>
      <w:fldChar w:fldCharType="begin"/>
    </w:r>
    <w:r>
      <w:rPr>
        <w:color w:val="888888"/>
        <w:sz w:val="18"/>
        <w:szCs w:val="18"/>
      </w:rPr>
      <w:instrText>NUMPAGES</w:instrText>
    </w:r>
    <w:r w:rsidR="001732BC">
      <w:rPr>
        <w:color w:val="888888"/>
        <w:sz w:val="18"/>
        <w:szCs w:val="18"/>
      </w:rPr>
      <w:fldChar w:fldCharType="separate"/>
    </w:r>
    <w:r w:rsidR="001B7BE9">
      <w:rPr>
        <w:noProof/>
        <w:color w:val="888888"/>
        <w:sz w:val="18"/>
        <w:szCs w:val="18"/>
      </w:rPr>
      <w:t>10</w:t>
    </w:r>
    <w:r w:rsidR="001732BC">
      <w:rPr>
        <w:color w:val="888888"/>
        <w:sz w:val="18"/>
        <w:szCs w:val="18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01F4" w:rsidRDefault="006501F4" w:rsidP="00907C16">
      <w:r>
        <w:separator/>
      </w:r>
    </w:p>
  </w:footnote>
  <w:footnote w:type="continuationSeparator" w:id="1">
    <w:p w:rsidR="006501F4" w:rsidRDefault="006501F4" w:rsidP="00907C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4E69EC"/>
    <w:multiLevelType w:val="hybridMultilevel"/>
    <w:tmpl w:val="33162A26"/>
    <w:lvl w:ilvl="0" w:tplc="5A944C16">
      <w:start w:val="1"/>
      <w:numFmt w:val="bullet"/>
      <w:lvlText w:val="●"/>
      <w:lvlJc w:val="left"/>
      <w:pPr>
        <w:ind w:left="720" w:hanging="360"/>
      </w:pPr>
    </w:lvl>
    <w:lvl w:ilvl="1" w:tplc="4006AE22">
      <w:start w:val="1"/>
      <w:numFmt w:val="bullet"/>
      <w:lvlText w:val="○"/>
      <w:lvlJc w:val="left"/>
      <w:pPr>
        <w:ind w:left="1440" w:hanging="360"/>
      </w:pPr>
    </w:lvl>
    <w:lvl w:ilvl="2" w:tplc="F95A7C94">
      <w:start w:val="1"/>
      <w:numFmt w:val="bullet"/>
      <w:lvlText w:val="■"/>
      <w:lvlJc w:val="left"/>
      <w:pPr>
        <w:ind w:left="2160" w:hanging="360"/>
      </w:pPr>
    </w:lvl>
    <w:lvl w:ilvl="3" w:tplc="C72447EA">
      <w:start w:val="1"/>
      <w:numFmt w:val="bullet"/>
      <w:lvlText w:val="●"/>
      <w:lvlJc w:val="left"/>
      <w:pPr>
        <w:ind w:left="2880" w:hanging="360"/>
      </w:pPr>
    </w:lvl>
    <w:lvl w:ilvl="4" w:tplc="2AB4968E">
      <w:start w:val="1"/>
      <w:numFmt w:val="bullet"/>
      <w:lvlText w:val="○"/>
      <w:lvlJc w:val="left"/>
      <w:pPr>
        <w:ind w:left="3600" w:hanging="360"/>
      </w:pPr>
    </w:lvl>
    <w:lvl w:ilvl="5" w:tplc="4FC0F9A4">
      <w:start w:val="1"/>
      <w:numFmt w:val="bullet"/>
      <w:lvlText w:val="■"/>
      <w:lvlJc w:val="left"/>
      <w:pPr>
        <w:ind w:left="4320" w:hanging="360"/>
      </w:pPr>
    </w:lvl>
    <w:lvl w:ilvl="6" w:tplc="C2B04E92">
      <w:start w:val="1"/>
      <w:numFmt w:val="bullet"/>
      <w:lvlText w:val="●"/>
      <w:lvlJc w:val="left"/>
      <w:pPr>
        <w:ind w:left="5040" w:hanging="360"/>
      </w:pPr>
    </w:lvl>
    <w:lvl w:ilvl="7" w:tplc="85324E8A">
      <w:start w:val="1"/>
      <w:numFmt w:val="bullet"/>
      <w:lvlText w:val="●"/>
      <w:lvlJc w:val="left"/>
      <w:pPr>
        <w:ind w:left="5760" w:hanging="360"/>
      </w:pPr>
    </w:lvl>
    <w:lvl w:ilvl="8" w:tplc="86F03D4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7C16"/>
    <w:rsid w:val="000071FC"/>
    <w:rsid w:val="001732BC"/>
    <w:rsid w:val="001B7BE9"/>
    <w:rsid w:val="00590950"/>
    <w:rsid w:val="006501F4"/>
    <w:rsid w:val="00671200"/>
    <w:rsid w:val="0070262B"/>
    <w:rsid w:val="00860B60"/>
    <w:rsid w:val="00907C16"/>
    <w:rsid w:val="00B6322F"/>
    <w:rsid w:val="00F31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27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sid w:val="00907C16"/>
    <w:rPr>
      <w:sz w:val="56"/>
      <w:szCs w:val="56"/>
    </w:rPr>
  </w:style>
  <w:style w:type="paragraph" w:customStyle="1" w:styleId="Heading1">
    <w:name w:val="Heading 1"/>
    <w:qFormat/>
    <w:rsid w:val="00907C16"/>
    <w:rPr>
      <w:color w:val="2E74B5"/>
      <w:sz w:val="32"/>
      <w:szCs w:val="32"/>
    </w:rPr>
  </w:style>
  <w:style w:type="paragraph" w:customStyle="1" w:styleId="Heading2">
    <w:name w:val="Heading 2"/>
    <w:qFormat/>
    <w:rsid w:val="00907C16"/>
    <w:rPr>
      <w:color w:val="2E74B5"/>
      <w:sz w:val="26"/>
      <w:szCs w:val="26"/>
    </w:rPr>
  </w:style>
  <w:style w:type="paragraph" w:customStyle="1" w:styleId="Heading3">
    <w:name w:val="Heading 3"/>
    <w:qFormat/>
    <w:rsid w:val="00907C16"/>
    <w:rPr>
      <w:color w:val="1F4D78"/>
      <w:sz w:val="24"/>
      <w:szCs w:val="24"/>
    </w:rPr>
  </w:style>
  <w:style w:type="paragraph" w:customStyle="1" w:styleId="Heading4">
    <w:name w:val="Heading 4"/>
    <w:qFormat/>
    <w:rsid w:val="00907C16"/>
    <w:rPr>
      <w:i/>
      <w:iCs/>
      <w:color w:val="2E74B5"/>
    </w:rPr>
  </w:style>
  <w:style w:type="paragraph" w:customStyle="1" w:styleId="Heading5">
    <w:name w:val="Heading 5"/>
    <w:qFormat/>
    <w:rsid w:val="00907C16"/>
    <w:rPr>
      <w:color w:val="2E74B5"/>
    </w:rPr>
  </w:style>
  <w:style w:type="paragraph" w:customStyle="1" w:styleId="Heading6">
    <w:name w:val="Heading 6"/>
    <w:qFormat/>
    <w:rsid w:val="00907C16"/>
    <w:rPr>
      <w:color w:val="1F4D78"/>
    </w:rPr>
  </w:style>
  <w:style w:type="paragraph" w:customStyle="1" w:styleId="Gl1">
    <w:name w:val="Güçlü1"/>
    <w:qFormat/>
    <w:rsid w:val="00907C16"/>
    <w:rPr>
      <w:b/>
      <w:bCs/>
    </w:rPr>
  </w:style>
  <w:style w:type="paragraph" w:styleId="ListeParagraf">
    <w:name w:val="List Paragraph"/>
    <w:qFormat/>
    <w:rsid w:val="00907C16"/>
  </w:style>
  <w:style w:type="character" w:styleId="Kpr">
    <w:name w:val="Hyperlink"/>
    <w:uiPriority w:val="99"/>
    <w:unhideWhenUsed/>
    <w:rsid w:val="00907C16"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sid w:val="00907C16"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sid w:val="00907C16"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sid w:val="00907C16"/>
    <w:rPr>
      <w:sz w:val="20"/>
      <w:szCs w:val="20"/>
    </w:rPr>
  </w:style>
  <w:style w:type="character" w:styleId="SonnotBavurusu">
    <w:name w:val="endnote reference"/>
    <w:uiPriority w:val="99"/>
    <w:semiHidden/>
    <w:unhideWhenUsed/>
    <w:rsid w:val="00907C16"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sid w:val="00907C16"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sid w:val="00907C16"/>
    <w:rPr>
      <w:sz w:val="20"/>
      <w:szCs w:val="20"/>
    </w:rPr>
  </w:style>
  <w:style w:type="paragraph" w:customStyle="1" w:styleId="Heading10">
    <w:name w:val="Heading 1"/>
    <w:qFormat/>
    <w:rsid w:val="00907C16"/>
    <w:pPr>
      <w:spacing w:before="240" w:after="120"/>
      <w:outlineLvl w:val="0"/>
    </w:pPr>
    <w:rPr>
      <w:b/>
      <w:bCs/>
      <w:color w:val="1F4E79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Pages>9</Pages>
  <Words>2908</Words>
  <Characters>16577</Characters>
  <DocSecurity>0</DocSecurity>
  <Lines>138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2026-06-30T15:34:00Z</dcterms:created>
  <dcterms:modified xsi:type="dcterms:W3CDTF">2026-07-15T05:25:00Z</dcterms:modified>
</cp:coreProperties>
</file>